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p>
    <w:p>
      <w:pPr>
        <w:spacing w:after="200"/>
        <w:jc w:val="center"/>
      </w:pPr>
      <w:r>
        <w:rPr>
          <w:rFonts w:ascii="Arial" w:cs="Arial" w:eastAsia="Arial" w:hAnsi="Arial"/>
          <w:b/>
          <w:bCs/>
          <w:color w:val="1F4E79"/>
          <w:sz w:val="56"/>
          <w:szCs w:val="56"/>
        </w:rPr>
        <w:t xml:space="preserve">Strata Plan KAS1911</w:t>
      </w:r>
    </w:p>
    <w:p>
      <w:pPr>
        <w:spacing w:after="40"/>
        <w:jc w:val="center"/>
      </w:pPr>
      <w:r>
        <w:rPr>
          <w:rFonts w:ascii="Arial" w:cs="Arial" w:eastAsia="Arial" w:hAnsi="Arial"/>
          <w:color w:val="2E75B6"/>
          <w:sz w:val="36"/>
          <w:szCs w:val="36"/>
        </w:rPr>
        <w:t xml:space="preserve">Desert Gardens</w:t>
      </w:r>
    </w:p>
    <w:p>
      <w:pPr>
        <w:spacing w:after="100"/>
        <w:jc w:val="center"/>
      </w:pPr>
      <w:r>
        <w:rPr>
          <w:rFonts w:ascii="Arial" w:cs="Arial" w:eastAsia="Arial" w:hAnsi="Arial"/>
          <w:color w:val="2E75B6"/>
          <w:sz w:val="36"/>
          <w:szCs w:val="36"/>
        </w:rPr>
        <w:t xml:space="preserve">Comprehensive Financial Analysis</w:t>
      </w:r>
    </w:p>
    <w:p>
      <w:pPr>
        <w:spacing w:after="100"/>
        <w:jc w:val="center"/>
      </w:pPr>
      <w:r>
        <w:rPr>
          <w:rFonts w:ascii="Arial" w:cs="Arial" w:eastAsia="Arial" w:hAnsi="Arial"/>
          <w:color w:val="666666"/>
          <w:sz w:val="28"/>
          <w:szCs w:val="28"/>
        </w:rPr>
        <w:t xml:space="preserve">February 2025 through January 2026</w:t>
      </w:r>
    </w:p>
    <w:p>
      <w:pPr>
        <w:spacing w:after="400"/>
        <w:jc w:val="center"/>
      </w:pPr>
      <w:r>
        <w:rPr>
          <w:rFonts w:ascii="Arial" w:cs="Arial" w:eastAsia="Arial" w:hAnsi="Arial"/>
          <w:color w:val="888888"/>
          <w:sz w:val="20"/>
          <w:szCs w:val="20"/>
        </w:rPr>
        <w:t xml:space="preserve">540-554 Seymour Street, Kamloops, BC V2C 2G9</w:t>
      </w:r>
    </w:p>
    <w:p>
      <w:pPr>
        <w:pBdr>
          <w:bottom w:val="single" w:color="1F4E79" w:sz="6" w:space="1"/>
        </w:pBdr>
        <w:spacing w:after="200"/>
        <w:jc w:val="center"/>
      </w:pPr>
    </w:p>
    <w:p>
      <w:pPr>
        <w:spacing w:before="300"/>
        <w:jc w:val="center"/>
      </w:pPr>
      <w:r>
        <w:rPr>
          <w:rFonts w:ascii="Arial" w:cs="Arial" w:eastAsia="Arial" w:hAnsi="Arial"/>
          <w:color w:val="888888"/>
          <w:sz w:val="20"/>
          <w:szCs w:val="20"/>
        </w:rPr>
        <w:t xml:space="preserve">Managed by CML Properties | 272 Lansdowne Street, Kamloops, BC</w:t>
      </w:r>
    </w:p>
    <w:p>
      <w:pPr>
        <w:spacing w:before="200"/>
        <w:jc w:val="center"/>
      </w:pPr>
      <w:r>
        <w:rPr>
          <w:rFonts w:ascii="Arial" w:cs="Arial" w:eastAsia="Arial" w:hAnsi="Arial"/>
          <w:sz w:val="22"/>
          <w:szCs w:val="22"/>
        </w:rPr>
        <w:t xml:space="preserve">Prepared by: Tushar | Date: March 1, 2026</w:t>
      </w:r>
    </w:p>
    <w:p>
      <w:r>
        <w:br w:type="page"/>
      </w:r>
    </w:p>
    <w:p>
      <w:pPr>
        <w:pStyle w:val="Heading1"/>
        <w:spacing w:after="200" w:before="360"/>
      </w:pPr>
      <w:r>
        <w:rPr>
          <w:rFonts w:ascii="Arial" w:cs="Arial" w:eastAsia="Arial" w:hAnsi="Arial"/>
          <w:b/>
          <w:bCs/>
          <w:color w:val="1F4E79"/>
          <w:sz w:val="32"/>
          <w:szCs w:val="32"/>
        </w:rPr>
        <w:t xml:space="preserve">1. Executive Summary</w:t>
      </w:r>
    </w:p>
    <w:p>
      <w:pPr>
        <w:spacing w:after="120"/>
      </w:pPr>
      <w:r>
        <w:rPr>
          <w:rFonts w:ascii="Arial" w:cs="Arial" w:eastAsia="Arial" w:hAnsi="Arial"/>
          <w:sz w:val="22"/>
          <w:szCs w:val="22"/>
        </w:rPr>
        <w:t xml:space="preserve">This report presents a comprehensive financial review of Strata Plan KAS1911 (Desert Gardens), a 54-unit, 4-storey senior-oriented apartment complex in Kamloops, BC, for the fiscal year ending December 31, 2025, plus January 2026. The analysis is based on 97 PDF documents provided by CML Properties, including monthly financial statements, bank statements, bank reconciliations, expense general ledgers, accounts payable aging, and accounts receivable aging reports. This review also incorporates findings from prior research into CML Properties communications and governance patterns.</w:t>
      </w:r>
    </w:p>
    <w:p>
      <w:pPr>
        <w:pStyle w:val="Heading2"/>
        <w:spacing w:after="120" w:before="240"/>
      </w:pPr>
      <w:r>
        <w:rPr>
          <w:rFonts w:ascii="Arial" w:cs="Arial" w:eastAsia="Arial" w:hAnsi="Arial"/>
          <w:b/>
          <w:bCs/>
          <w:color w:val="2E75B6"/>
          <w:sz w:val="26"/>
          <w:szCs w:val="26"/>
        </w:rPr>
        <w:t xml:space="preserve">Key Positive Findings</w:t>
      </w:r>
    </w:p>
    <w:p>
      <w:pPr>
        <w:pStyle w:val="ListParagraph"/>
        <w:numPr>
          <w:ilvl w:val="0"/>
          <w:numId w:val="2"/>
        </w:numPr>
        <w:spacing w:after="80"/>
      </w:pPr>
      <w:r>
        <w:rPr>
          <w:rFonts w:ascii="Arial" w:cs="Arial" w:eastAsia="Arial" w:hAnsi="Arial"/>
          <w:b/>
          <w:bCs/>
          <w:sz w:val="22"/>
          <w:szCs w:val="22"/>
        </w:rPr>
        <w:t xml:space="preserve">Net income of $9,342 for FY2025 </w:t>
      </w:r>
      <w:r>
        <w:rPr>
          <w:rFonts w:ascii="Arial" w:cs="Arial" w:eastAsia="Arial" w:hAnsi="Arial"/>
          <w:sz w:val="22"/>
          <w:szCs w:val="22"/>
        </w:rPr>
        <w:t xml:space="preserve">significantly exceeded the annual budget of $99, recovering from a steep early-year deficit of ($16,487) through February.</w:t>
      </w:r>
    </w:p>
    <w:p>
      <w:pPr>
        <w:pStyle w:val="ListParagraph"/>
        <w:numPr>
          <w:ilvl w:val="0"/>
          <w:numId w:val="2"/>
        </w:numPr>
        <w:spacing w:after="80"/>
      </w:pPr>
      <w:r>
        <w:rPr>
          <w:rFonts w:ascii="Arial" w:cs="Arial" w:eastAsia="Arial" w:hAnsi="Arial"/>
          <w:b/>
          <w:bCs/>
          <w:sz w:val="22"/>
          <w:szCs w:val="22"/>
        </w:rPr>
        <w:t xml:space="preserve">CRF grew from $276,096 to $288,512 </w:t>
      </w:r>
      <w:r>
        <w:rPr>
          <w:rFonts w:ascii="Arial" w:cs="Arial" w:eastAsia="Arial" w:hAnsi="Arial"/>
          <w:sz w:val="22"/>
          <w:szCs w:val="22"/>
        </w:rPr>
        <w:t xml:space="preserve">(+$12,416, 4.5%) over the fiscal year, reaching $291,212 by January 2026.</w:t>
      </w:r>
    </w:p>
    <w:p>
      <w:pPr>
        <w:pStyle w:val="ListParagraph"/>
        <w:numPr>
          <w:ilvl w:val="0"/>
          <w:numId w:val="2"/>
        </w:numPr>
        <w:spacing w:after="80"/>
      </w:pPr>
      <w:r>
        <w:rPr>
          <w:rFonts w:ascii="Arial" w:cs="Arial" w:eastAsia="Arial" w:hAnsi="Arial"/>
          <w:b/>
          <w:bCs/>
          <w:sz w:val="22"/>
          <w:szCs w:val="22"/>
        </w:rPr>
        <w:t xml:space="preserve">All bank reconciliations balance to $0.00 difference </w:t>
      </w:r>
      <w:r>
        <w:rPr>
          <w:rFonts w:ascii="Arial" w:cs="Arial" w:eastAsia="Arial" w:hAnsi="Arial"/>
          <w:sz w:val="22"/>
          <w:szCs w:val="22"/>
        </w:rPr>
        <w:t xml:space="preserve">across every month reviewed, for both the operating and CRF accounts. No unreconciled items.</w:t>
      </w:r>
    </w:p>
    <w:p>
      <w:pPr>
        <w:pStyle w:val="ListParagraph"/>
        <w:numPr>
          <w:ilvl w:val="0"/>
          <w:numId w:val="2"/>
        </w:numPr>
        <w:spacing w:after="80"/>
      </w:pPr>
      <w:r>
        <w:rPr>
          <w:rFonts w:ascii="Arial" w:cs="Arial" w:eastAsia="Arial" w:hAnsi="Arial"/>
          <w:b/>
          <w:bCs/>
          <w:sz w:val="22"/>
          <w:szCs w:val="22"/>
        </w:rPr>
        <w:t xml:space="preserve">All accounts payable are current </w:t>
      </w:r>
      <w:r>
        <w:rPr>
          <w:rFonts w:ascii="Arial" w:cs="Arial" w:eastAsia="Arial" w:hAnsi="Arial"/>
          <w:sz w:val="22"/>
          <w:szCs w:val="22"/>
        </w:rPr>
        <w:t xml:space="preserve">at every reporting date. No overdue vendor invoices identified at any point during the year.</w:t>
      </w:r>
    </w:p>
    <w:p>
      <w:pPr>
        <w:pStyle w:val="ListParagraph"/>
        <w:numPr>
          <w:ilvl w:val="0"/>
          <w:numId w:val="2"/>
        </w:numPr>
        <w:spacing w:after="80"/>
      </w:pPr>
      <w:r>
        <w:rPr>
          <w:rFonts w:ascii="Arial" w:cs="Arial" w:eastAsia="Arial" w:hAnsi="Arial"/>
          <w:b/>
          <w:bCs/>
          <w:sz w:val="22"/>
          <w:szCs w:val="22"/>
        </w:rPr>
        <w:t xml:space="preserve">Consulting fees of $8,054 (NLD Consulting) </w:t>
      </w:r>
      <w:r>
        <w:rPr>
          <w:rFonts w:ascii="Arial" w:cs="Arial" w:eastAsia="Arial" w:hAnsi="Arial"/>
          <w:sz w:val="22"/>
          <w:szCs w:val="22"/>
        </w:rPr>
        <w:t xml:space="preserve">are explained by the legally-required depreciation report (budgeted at $7,875 by NLD). The 303% variance vs. the $2,000 annual budget simply means the budget didn't anticipate a depreciation report year.</w:t>
      </w:r>
    </w:p>
    <w:p>
      <w:pPr>
        <w:pStyle w:val="Heading2"/>
        <w:spacing w:after="120" w:before="240"/>
      </w:pPr>
      <w:r>
        <w:rPr>
          <w:rFonts w:ascii="Arial" w:cs="Arial" w:eastAsia="Arial" w:hAnsi="Arial"/>
          <w:b/>
          <w:bCs/>
          <w:color w:val="2E75B6"/>
          <w:sz w:val="26"/>
          <w:szCs w:val="26"/>
        </w:rPr>
        <w:t xml:space="preserve">Key Concerns and Red Flags</w:t>
      </w:r>
    </w:p>
    <w:p>
      <w:pPr>
        <w:pStyle w:val="ListParagraph"/>
        <w:numPr>
          <w:ilvl w:val="0"/>
          <w:numId w:val="2"/>
        </w:numPr>
        <w:spacing w:after="80"/>
      </w:pPr>
      <w:r>
        <w:rPr>
          <w:rFonts w:ascii="Arial" w:cs="Arial" w:eastAsia="Arial" w:hAnsi="Arial"/>
          <w:b/>
          <w:bCs/>
          <w:color w:val="CC0000"/>
          <w:sz w:val="22"/>
          <w:szCs w:val="22"/>
        </w:rPr>
        <w:t xml:space="preserve">CRF contribution rate is 9.4% of operating budget </w:t>
      </w:r>
      <w:r>
        <w:rPr>
          <w:rFonts w:ascii="Arial" w:cs="Arial" w:eastAsia="Arial" w:hAnsi="Arial"/>
          <w:sz w:val="22"/>
          <w:szCs w:val="22"/>
        </w:rPr>
        <w:t xml:space="preserve">($24,712 vs. $263,219 operating budget). This falls short of the mandatory 10% minimum under BC regulations effective November 1, 2023. This must be corrected in the FY2026 budget.</w:t>
      </w:r>
    </w:p>
    <w:p>
      <w:pPr>
        <w:pStyle w:val="ListParagraph"/>
        <w:numPr>
          <w:ilvl w:val="0"/>
          <w:numId w:val="2"/>
        </w:numPr>
        <w:spacing w:after="80"/>
      </w:pPr>
      <w:r>
        <w:rPr>
          <w:rFonts w:ascii="Arial" w:cs="Arial" w:eastAsia="Arial" w:hAnsi="Arial"/>
          <w:b/>
          <w:bCs/>
          <w:color w:val="CC0000"/>
          <w:sz w:val="22"/>
          <w:szCs w:val="22"/>
        </w:rPr>
        <w:t xml:space="preserve">CRF-to-operating loans are becoming a recurring pattern. </w:t>
      </w:r>
      <w:r>
        <w:rPr>
          <w:rFonts w:ascii="Arial" w:cs="Arial" w:eastAsia="Arial" w:hAnsi="Arial"/>
          <w:sz w:val="22"/>
          <w:szCs w:val="22"/>
        </w:rPr>
        <w:t xml:space="preserve">The FY2025 financials show a $12,000 loan in February growing to $27,000 by June, repaid by September. Per email records, another $12,000 CRF transfer was executed in February 2026. Back-to-back years of CRF borrowing for the same reason (insurance cash timing) indicates a structural operating fund shortfall.</w:t>
      </w:r>
    </w:p>
    <w:p>
      <w:pPr>
        <w:pStyle w:val="ListParagraph"/>
        <w:numPr>
          <w:ilvl w:val="0"/>
          <w:numId w:val="2"/>
        </w:numPr>
        <w:spacing w:after="80"/>
      </w:pPr>
      <w:r>
        <w:rPr>
          <w:rFonts w:ascii="Arial" w:cs="Arial" w:eastAsia="Arial" w:hAnsi="Arial"/>
          <w:b/>
          <w:bCs/>
          <w:color w:val="CC0000"/>
          <w:sz w:val="22"/>
          <w:szCs w:val="22"/>
        </w:rPr>
        <w:t xml:space="preserve">Fire Systems expenses exceeded budget by 111% </w:t>
      </w:r>
      <w:r>
        <w:rPr>
          <w:rFonts w:ascii="Arial" w:cs="Arial" w:eastAsia="Arial" w:hAnsi="Arial"/>
          <w:sz w:val="22"/>
          <w:szCs w:val="22"/>
        </w:rPr>
        <w:t xml:space="preserve">($7,382 vs. $3,500). This overrun was not communicated proactively to council. These costs may relate to remediation for the Unit 314 fire safety issue. CML should provide a detailed breakdown.</w:t>
      </w:r>
    </w:p>
    <w:p>
      <w:pPr>
        <w:pStyle w:val="ListParagraph"/>
        <w:numPr>
          <w:ilvl w:val="0"/>
          <w:numId w:val="2"/>
        </w:numPr>
        <w:spacing w:after="80"/>
      </w:pPr>
      <w:r>
        <w:rPr>
          <w:rFonts w:ascii="Arial" w:cs="Arial" w:eastAsia="Arial" w:hAnsi="Arial"/>
          <w:b/>
          <w:bCs/>
          <w:color w:val="CC0000"/>
          <w:sz w:val="22"/>
          <w:szCs w:val="22"/>
        </w:rPr>
        <w:t xml:space="preserve">Insurance contradiction remains unexplained. </w:t>
      </w:r>
      <w:r>
        <w:rPr>
          <w:rFonts w:ascii="Arial" w:cs="Arial" w:eastAsia="Arial" w:hAnsi="Arial"/>
          <w:sz w:val="22"/>
          <w:szCs w:val="22"/>
        </w:rPr>
        <w:t xml:space="preserve">Property manager Abhi Chopra told council on Feb 10, 2026 there was "no increase" in the insurance premium, then executed a $12,000 CRF transfer on Feb 23 citing an insurance-related cash shortfall.</w:t>
      </w:r>
    </w:p>
    <w:p>
      <w:r>
        <w:br w:type="page"/>
      </w:r>
    </w:p>
    <w:p>
      <w:pPr>
        <w:pStyle w:val="Heading1"/>
        <w:spacing w:after="200" w:before="360"/>
      </w:pPr>
      <w:r>
        <w:rPr>
          <w:rFonts w:ascii="Arial" w:cs="Arial" w:eastAsia="Arial" w:hAnsi="Arial"/>
          <w:b/>
          <w:bCs/>
          <w:color w:val="1F4E79"/>
          <w:sz w:val="32"/>
          <w:szCs w:val="32"/>
        </w:rPr>
        <w:t xml:space="preserve">2. Balance Sheet Trend Analysis</w:t>
      </w:r>
    </w:p>
    <w:p>
      <w:pPr>
        <w:spacing w:after="120"/>
      </w:pPr>
      <w:r>
        <w:rPr>
          <w:rFonts w:ascii="Arial" w:cs="Arial" w:eastAsia="Arial" w:hAnsi="Arial"/>
          <w:sz w:val="22"/>
          <w:szCs w:val="22"/>
        </w:rPr>
        <w:t xml:space="preserve">The balance sheet shows a clear recovery over the fiscal year. Total equity improved from $238,690 in February to $301,978 by January 2026, driven by the growing CRF and reversal of the early-year operating deficit.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1404"/>
        <w:gridCol w:w="1404"/>
        <w:gridCol w:w="1404"/>
        <w:gridCol w:w="1404"/>
        <w:gridCol w:w="1404"/>
      </w:tblGrid>
      <w:tr>
        <w:tc>
          <w:tcPr>
            <w:tcW w:type="dxa" w:w="2340"/>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
            </w:r>
          </w:p>
        </w:tc>
        <w:tc>
          <w:tcPr>
            <w:tcW w:type="dxa" w:w="1404"/>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Feb 2025</w:t>
            </w:r>
          </w:p>
        </w:tc>
        <w:tc>
          <w:tcPr>
            <w:tcW w:type="dxa" w:w="1404"/>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Jun 2025</w:t>
            </w:r>
          </w:p>
        </w:tc>
        <w:tc>
          <w:tcPr>
            <w:tcW w:type="dxa" w:w="1404"/>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Sep 2025</w:t>
            </w:r>
          </w:p>
        </w:tc>
        <w:tc>
          <w:tcPr>
            <w:tcW w:type="dxa" w:w="1404"/>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Dec 2025</w:t>
            </w:r>
          </w:p>
        </w:tc>
        <w:tc>
          <w:tcPr>
            <w:tcW w:type="dxa" w:w="1404"/>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Jan 2026</w:t>
            </w:r>
          </w:p>
        </w:tc>
      </w:tr>
      <w:tr>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Cash - Operating</w:t>
            </w:r>
          </w:p>
        </w:tc>
        <w:tc>
          <w:tcPr>
            <w:tcW w:type="dxa" w:w="140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$10,624</w:t>
            </w:r>
          </w:p>
        </w:tc>
        <w:tc>
          <w:tcPr>
            <w:tcW w:type="dxa" w:w="140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$4,420</w:t>
            </w:r>
          </w:p>
        </w:tc>
        <w:tc>
          <w:tcPr>
            <w:tcW w:type="dxa" w:w="140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$14,112</w:t>
            </w:r>
          </w:p>
        </w:tc>
        <w:tc>
          <w:tcPr>
            <w:tcW w:type="dxa" w:w="140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$14,638</w:t>
            </w:r>
          </w:p>
        </w:tc>
        <w:tc>
          <w:tcPr>
            <w:tcW w:type="dxa" w:w="140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$22,739</w:t>
            </w:r>
          </w:p>
        </w:tc>
      </w:tr>
      <w:tr>
        <w:tc>
          <w:tcPr>
            <w:tcW w:type="dxa" w:w="234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Cash - CRF</w:t>
            </w:r>
          </w:p>
        </w:tc>
        <w:tc>
          <w:tcPr>
            <w:tcW w:type="dxa" w:w="140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$267,222</w:t>
            </w:r>
          </w:p>
        </w:tc>
        <w:tc>
          <w:tcPr>
            <w:tcW w:type="dxa" w:w="140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$250,147</w:t>
            </w:r>
          </w:p>
        </w:tc>
        <w:tc>
          <w:tcPr>
            <w:tcW w:type="dxa" w:w="140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$282,030</w:t>
            </w:r>
          </w:p>
        </w:tc>
        <w:tc>
          <w:tcPr>
            <w:tcW w:type="dxa" w:w="140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$288,512</w:t>
            </w:r>
          </w:p>
        </w:tc>
        <w:tc>
          <w:tcPr>
            <w:tcW w:type="dxa" w:w="140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$291,212</w:t>
            </w:r>
          </w:p>
        </w:tc>
      </w:tr>
      <w:tr>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Accounts Receivable</w:t>
            </w:r>
          </w:p>
        </w:tc>
        <w:tc>
          <w:tcPr>
            <w:tcW w:type="dxa" w:w="140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$3,467</w:t>
            </w:r>
          </w:p>
        </w:tc>
        <w:tc>
          <w:tcPr>
            <w:tcW w:type="dxa" w:w="140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$585</w:t>
            </w:r>
          </w:p>
        </w:tc>
        <w:tc>
          <w:tcPr>
            <w:tcW w:type="dxa" w:w="140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$2,404</w:t>
            </w:r>
          </w:p>
        </w:tc>
        <w:tc>
          <w:tcPr>
            <w:tcW w:type="dxa" w:w="140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$3,214</w:t>
            </w:r>
          </w:p>
        </w:tc>
        <w:tc>
          <w:tcPr>
            <w:tcW w:type="dxa" w:w="140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$2,774</w:t>
            </w:r>
          </w:p>
        </w:tc>
      </w:tr>
      <w:tr>
        <w:tc>
          <w:tcPr>
            <w:tcW w:type="dxa" w:w="234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Prepaid Expenses</w:t>
            </w:r>
          </w:p>
        </w:tc>
        <w:tc>
          <w:tcPr>
            <w:tcW w:type="dxa" w:w="140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$41,614</w:t>
            </w:r>
          </w:p>
        </w:tc>
        <w:tc>
          <w:tcPr>
            <w:tcW w:type="dxa" w:w="140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$26,988</w:t>
            </w:r>
          </w:p>
        </w:tc>
        <w:tc>
          <w:tcPr>
            <w:tcW w:type="dxa" w:w="140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$13,185</w:t>
            </w:r>
          </w:p>
        </w:tc>
        <w:tc>
          <w:tcPr>
            <w:tcW w:type="dxa" w:w="140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$7,408</w:t>
            </w:r>
          </w:p>
        </w:tc>
        <w:tc>
          <w:tcPr>
            <w:tcW w:type="dxa" w:w="140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$6,793</w:t>
            </w:r>
          </w:p>
        </w:tc>
      </w:tr>
      <w:tr>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Total Assets</w:t>
            </w:r>
          </w:p>
        </w:tc>
        <w:tc>
          <w:tcPr>
            <w:tcW w:type="dxa" w:w="140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$312,832</w:t>
            </w:r>
          </w:p>
        </w:tc>
        <w:tc>
          <w:tcPr>
            <w:tcW w:type="dxa" w:w="140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$276,196</w:t>
            </w:r>
          </w:p>
        </w:tc>
        <w:tc>
          <w:tcPr>
            <w:tcW w:type="dxa" w:w="140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$311,032</w:t>
            </w:r>
          </w:p>
        </w:tc>
        <w:tc>
          <w:tcPr>
            <w:tcW w:type="dxa" w:w="140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$310,649</w:t>
            </w:r>
          </w:p>
        </w:tc>
        <w:tc>
          <w:tcPr>
            <w:tcW w:type="dxa" w:w="140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$316,645</w:t>
            </w:r>
          </w:p>
        </w:tc>
      </w:tr>
      <w:tr>
        <w:tc>
          <w:tcPr>
            <w:tcW w:type="dxa" w:w="234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Accounts Payable</w:t>
            </w:r>
          </w:p>
        </w:tc>
        <w:tc>
          <w:tcPr>
            <w:tcW w:type="dxa" w:w="140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$57,392</w:t>
            </w:r>
          </w:p>
        </w:tc>
        <w:tc>
          <w:tcPr>
            <w:tcW w:type="dxa" w:w="140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$5,397</w:t>
            </w:r>
          </w:p>
        </w:tc>
        <w:tc>
          <w:tcPr>
            <w:tcW w:type="dxa" w:w="140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$5,696</w:t>
            </w:r>
          </w:p>
        </w:tc>
        <w:tc>
          <w:tcPr>
            <w:tcW w:type="dxa" w:w="140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$4,109</w:t>
            </w:r>
          </w:p>
        </w:tc>
        <w:tc>
          <w:tcPr>
            <w:tcW w:type="dxa" w:w="140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$3,599</w:t>
            </w:r>
          </w:p>
        </w:tc>
      </w:tr>
      <w:tr>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Loan from CRF</w:t>
            </w:r>
          </w:p>
        </w:tc>
        <w:tc>
          <w:tcPr>
            <w:tcW w:type="dxa" w:w="140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$12,000</w:t>
            </w:r>
          </w:p>
        </w:tc>
        <w:tc>
          <w:tcPr>
            <w:tcW w:type="dxa" w:w="140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$27,000</w:t>
            </w:r>
          </w:p>
        </w:tc>
        <w:tc>
          <w:tcPr>
            <w:tcW w:type="dxa" w:w="140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$0</w:t>
            </w:r>
          </w:p>
        </w:tc>
        <w:tc>
          <w:tcPr>
            <w:tcW w:type="dxa" w:w="140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$0</w:t>
            </w:r>
          </w:p>
        </w:tc>
        <w:tc>
          <w:tcPr>
            <w:tcW w:type="dxa" w:w="140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$0</w:t>
            </w:r>
          </w:p>
        </w:tc>
      </w:tr>
      <w:tr>
        <w:tc>
          <w:tcPr>
            <w:tcW w:type="dxa" w:w="234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Total Liabilities</w:t>
            </w:r>
          </w:p>
        </w:tc>
        <w:tc>
          <w:tcPr>
            <w:tcW w:type="dxa" w:w="140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$74,142</w:t>
            </w:r>
          </w:p>
        </w:tc>
        <w:tc>
          <w:tcPr>
            <w:tcW w:type="dxa" w:w="140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$39,555</w:t>
            </w:r>
          </w:p>
        </w:tc>
        <w:tc>
          <w:tcPr>
            <w:tcW w:type="dxa" w:w="140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$15,263</w:t>
            </w:r>
          </w:p>
        </w:tc>
        <w:tc>
          <w:tcPr>
            <w:tcW w:type="dxa" w:w="140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$12,795</w:t>
            </w:r>
          </w:p>
        </w:tc>
        <w:tc>
          <w:tcPr>
            <w:tcW w:type="dxa" w:w="140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$14,667</w:t>
            </w:r>
          </w:p>
        </w:tc>
      </w:tr>
      <w:tr>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CRF Equity</w:t>
            </w:r>
          </w:p>
        </w:tc>
        <w:tc>
          <w:tcPr>
            <w:tcW w:type="dxa" w:w="140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$267,222</w:t>
            </w:r>
          </w:p>
        </w:tc>
        <w:tc>
          <w:tcPr>
            <w:tcW w:type="dxa" w:w="140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$250,147</w:t>
            </w:r>
          </w:p>
        </w:tc>
        <w:tc>
          <w:tcPr>
            <w:tcW w:type="dxa" w:w="140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$282,030</w:t>
            </w:r>
          </w:p>
        </w:tc>
        <w:tc>
          <w:tcPr>
            <w:tcW w:type="dxa" w:w="140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$288,512</w:t>
            </w:r>
          </w:p>
        </w:tc>
        <w:tc>
          <w:tcPr>
            <w:tcW w:type="dxa" w:w="140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$291,212</w:t>
            </w:r>
          </w:p>
        </w:tc>
      </w:tr>
      <w:tr>
        <w:tc>
          <w:tcPr>
            <w:tcW w:type="dxa" w:w="234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Retained Earnings</w:t>
            </w:r>
          </w:p>
        </w:tc>
        <w:tc>
          <w:tcPr>
            <w:tcW w:type="dxa" w:w="140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($28,533)</w:t>
            </w:r>
          </w:p>
        </w:tc>
        <w:tc>
          <w:tcPr>
            <w:tcW w:type="dxa" w:w="140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($13,507)</w:t>
            </w:r>
          </w:p>
        </w:tc>
        <w:tc>
          <w:tcPr>
            <w:tcW w:type="dxa" w:w="140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($6,261)</w:t>
            </w:r>
          </w:p>
        </w:tc>
        <w:tc>
          <w:tcPr>
            <w:tcW w:type="dxa" w:w="140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$9,342</w:t>
            </w:r>
          </w:p>
        </w:tc>
        <w:tc>
          <w:tcPr>
            <w:tcW w:type="dxa" w:w="140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$10,766</w:t>
            </w:r>
          </w:p>
        </w:tc>
      </w:tr>
      <w:tr>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000000"/>
                <w:sz w:val="18"/>
                <w:szCs w:val="18"/>
              </w:rPr>
              <w:t xml:space="preserve">Total Equity</w:t>
            </w:r>
          </w:p>
        </w:tc>
        <w:tc>
          <w:tcPr>
            <w:tcW w:type="dxa" w:w="140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bCs/>
                <w:color w:val="000000"/>
                <w:sz w:val="18"/>
                <w:szCs w:val="18"/>
              </w:rPr>
              <w:t xml:space="preserve">$238,690</w:t>
            </w:r>
          </w:p>
        </w:tc>
        <w:tc>
          <w:tcPr>
            <w:tcW w:type="dxa" w:w="140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bCs/>
                <w:color w:val="000000"/>
                <w:sz w:val="18"/>
                <w:szCs w:val="18"/>
              </w:rPr>
              <w:t xml:space="preserve">$236,640</w:t>
            </w:r>
          </w:p>
        </w:tc>
        <w:tc>
          <w:tcPr>
            <w:tcW w:type="dxa" w:w="140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bCs/>
                <w:color w:val="000000"/>
                <w:sz w:val="18"/>
                <w:szCs w:val="18"/>
              </w:rPr>
              <w:t xml:space="preserve">$295,769</w:t>
            </w:r>
          </w:p>
        </w:tc>
        <w:tc>
          <w:tcPr>
            <w:tcW w:type="dxa" w:w="140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bCs/>
                <w:color w:val="000000"/>
                <w:sz w:val="18"/>
                <w:szCs w:val="18"/>
              </w:rPr>
              <w:t xml:space="preserve">$297,854</w:t>
            </w:r>
          </w:p>
        </w:tc>
        <w:tc>
          <w:tcPr>
            <w:tcW w:type="dxa" w:w="140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bCs/>
                <w:color w:val="000000"/>
                <w:sz w:val="18"/>
                <w:szCs w:val="18"/>
              </w:rPr>
              <w:t xml:space="preserve">$301,978</w:t>
            </w:r>
          </w:p>
        </w:tc>
      </w:tr>
    </w:tbl>
    <w:p>
      <w:pPr>
        <w:pStyle w:val="Heading2"/>
        <w:spacing w:after="120" w:before="240"/>
      </w:pPr>
      <w:r>
        <w:rPr>
          <w:rFonts w:ascii="Arial" w:cs="Arial" w:eastAsia="Arial" w:hAnsi="Arial"/>
          <w:b/>
          <w:bCs/>
          <w:color w:val="2E75B6"/>
          <w:sz w:val="26"/>
          <w:szCs w:val="26"/>
        </w:rPr>
        <w:t xml:space="preserve">Key Balance Sheet Observations</w:t>
      </w:r>
    </w:p>
    <w:p>
      <w:pPr>
        <w:pStyle w:val="ListParagraph"/>
        <w:numPr>
          <w:ilvl w:val="0"/>
          <w:numId w:val="2"/>
        </w:numPr>
        <w:spacing w:after="80"/>
      </w:pPr>
      <w:r>
        <w:rPr>
          <w:rFonts w:ascii="Arial" w:cs="Arial" w:eastAsia="Arial" w:hAnsi="Arial"/>
          <w:b/>
          <w:bCs/>
          <w:sz w:val="22"/>
          <w:szCs w:val="22"/>
        </w:rPr>
        <w:t xml:space="preserve">CRF loan pattern confirmed: </w:t>
      </w:r>
      <w:r>
        <w:rPr>
          <w:rFonts w:ascii="Arial" w:cs="Arial" w:eastAsia="Arial" w:hAnsi="Arial"/>
          <w:sz w:val="22"/>
          <w:szCs w:val="22"/>
        </w:rPr>
        <w:t xml:space="preserve">The February 2025 balance sheet shows $12,000 Loan from CRF, growing to $27,000 by June. This was fully repaid by September 2025, meaning CML did comply with the Regulation 6.3 requirement to repay by fiscal year-end. However, the same pattern is now repeating in February 2026.</w:t>
      </w:r>
    </w:p>
    <w:p>
      <w:pPr>
        <w:pStyle w:val="ListParagraph"/>
        <w:numPr>
          <w:ilvl w:val="0"/>
          <w:numId w:val="2"/>
        </w:numPr>
        <w:spacing w:after="80"/>
      </w:pPr>
      <w:r>
        <w:rPr>
          <w:rFonts w:ascii="Arial" w:cs="Arial" w:eastAsia="Arial" w:hAnsi="Arial"/>
          <w:b/>
          <w:bCs/>
          <w:sz w:val="22"/>
          <w:szCs w:val="22"/>
        </w:rPr>
        <w:t xml:space="preserve">AP spike in February ($57,392) </w:t>
      </w:r>
      <w:r>
        <w:rPr>
          <w:rFonts w:ascii="Arial" w:cs="Arial" w:eastAsia="Arial" w:hAnsi="Arial"/>
          <w:sz w:val="22"/>
          <w:szCs w:val="22"/>
        </w:rPr>
        <w:t xml:space="preserve">was driven almost entirely by the HUB International insurance premium of $38,083. This is the cash flow trigger for the CRF borrowing. The insurance premium represents a lump-sum outflow equal to roughly 2 months of strata fee collections.</w:t>
      </w:r>
    </w:p>
    <w:p>
      <w:pPr>
        <w:pStyle w:val="ListParagraph"/>
        <w:numPr>
          <w:ilvl w:val="0"/>
          <w:numId w:val="2"/>
        </w:numPr>
        <w:spacing w:after="80"/>
      </w:pPr>
      <w:r>
        <w:rPr>
          <w:rFonts w:ascii="Arial" w:cs="Arial" w:eastAsia="Arial" w:hAnsi="Arial"/>
          <w:b/>
          <w:bCs/>
          <w:sz w:val="22"/>
          <w:szCs w:val="22"/>
        </w:rPr>
        <w:t xml:space="preserve">Prepaid expenses decline from $41,614 to $6,793 </w:t>
      </w:r>
      <w:r>
        <w:rPr>
          <w:rFonts w:ascii="Arial" w:cs="Arial" w:eastAsia="Arial" w:hAnsi="Arial"/>
          <w:sz w:val="22"/>
          <w:szCs w:val="22"/>
        </w:rPr>
        <w:t xml:space="preserve">as the insurance premium amortizes monthly. This is standard accounting treatment.</w:t>
      </w:r>
    </w:p>
    <w:p>
      <w:pPr>
        <w:pStyle w:val="ListParagraph"/>
        <w:numPr>
          <w:ilvl w:val="0"/>
          <w:numId w:val="2"/>
        </w:numPr>
        <w:spacing w:after="80"/>
      </w:pPr>
      <w:r>
        <w:rPr>
          <w:rFonts w:ascii="Arial" w:cs="Arial" w:eastAsia="Arial" w:hAnsi="Arial"/>
          <w:b/>
          <w:bCs/>
          <w:sz w:val="22"/>
          <w:szCs w:val="22"/>
        </w:rPr>
        <w:t xml:space="preserve">Operating cash hit a low of $4,420 in June, </w:t>
      </w:r>
      <w:r>
        <w:rPr>
          <w:rFonts w:ascii="Arial" w:cs="Arial" w:eastAsia="Arial" w:hAnsi="Arial"/>
          <w:sz w:val="22"/>
          <w:szCs w:val="22"/>
        </w:rPr>
        <w:t xml:space="preserve">coinciding with the peak CRF loan of $27,000. Without that loan, operating cash would have been deeply negative, confirming the structural shortfall.</w:t>
      </w:r>
    </w:p>
    <w:p>
      <w:r>
        <w:br w:type="page"/>
      </w:r>
    </w:p>
    <w:p>
      <w:pPr>
        <w:pStyle w:val="Heading1"/>
        <w:spacing w:after="200" w:before="360"/>
      </w:pPr>
      <w:r>
        <w:rPr>
          <w:rFonts w:ascii="Arial" w:cs="Arial" w:eastAsia="Arial" w:hAnsi="Arial"/>
          <w:b/>
          <w:bCs/>
          <w:color w:val="1F4E79"/>
          <w:sz w:val="32"/>
          <w:szCs w:val="32"/>
        </w:rPr>
        <w:t xml:space="preserve">3. Income Statement Analysis</w:t>
      </w:r>
    </w:p>
    <w:p>
      <w:pPr>
        <w:spacing w:after="120"/>
      </w:pPr>
      <w:r>
        <w:rPr>
          <w:rFonts w:ascii="Arial" w:cs="Arial" w:eastAsia="Arial" w:hAnsi="Arial"/>
          <w:sz w:val="22"/>
          <w:szCs w:val="22"/>
        </w:rPr>
        <w:t xml:space="preserve">Total revenue of $264,185 came in slightly above the $263,318 budget (+$867). Total expenses of $254,844 were $8,375 (3.2%) under budget. Net income of $9,342 exceeded the $99 budget by $9,243.</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1312"/>
        <w:gridCol w:w="1312"/>
        <w:gridCol w:w="1312"/>
        <w:gridCol w:w="1312"/>
        <w:gridCol w:w="1312"/>
      </w:tblGrid>
      <w:tr>
        <w:tc>
          <w:tcPr>
            <w:tcW w:type="dxa" w:w="2800"/>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
            </w:r>
          </w:p>
        </w:tc>
        <w:tc>
          <w:tcPr>
            <w:tcW w:type="dxa" w:w="1312"/>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YTD Feb</w:t>
            </w:r>
          </w:p>
        </w:tc>
        <w:tc>
          <w:tcPr>
            <w:tcW w:type="dxa" w:w="1312"/>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YTD Jun</w:t>
            </w:r>
          </w:p>
        </w:tc>
        <w:tc>
          <w:tcPr>
            <w:tcW w:type="dxa" w:w="1312"/>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YTD Sep</w:t>
            </w:r>
          </w:p>
        </w:tc>
        <w:tc>
          <w:tcPr>
            <w:tcW w:type="dxa" w:w="1312"/>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YTD Dec</w:t>
            </w:r>
          </w:p>
        </w:tc>
        <w:tc>
          <w:tcPr>
            <w:tcW w:type="dxa" w:w="1312"/>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Budget</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Strata Fee Income</w:t>
            </w:r>
          </w:p>
        </w:tc>
        <w:tc>
          <w:tcPr>
            <w:tcW w:type="dxa" w:w="1312"/>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$41,842</w:t>
            </w:r>
          </w:p>
        </w:tc>
        <w:tc>
          <w:tcPr>
            <w:tcW w:type="dxa" w:w="1312"/>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$133,767</w:t>
            </w:r>
          </w:p>
        </w:tc>
        <w:tc>
          <w:tcPr>
            <w:tcW w:type="dxa" w:w="1312"/>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$213,694</w:t>
            </w:r>
          </w:p>
        </w:tc>
        <w:tc>
          <w:tcPr>
            <w:tcW w:type="dxa" w:w="1312"/>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$275,773</w:t>
            </w:r>
          </w:p>
        </w:tc>
        <w:tc>
          <w:tcPr>
            <w:tcW w:type="dxa" w:w="1312"/>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$275,773</w:t>
            </w:r>
          </w:p>
        </w:tc>
      </w:tr>
      <w:tr>
        <w:tc>
          <w:tcPr>
            <w:tcW w:type="dxa" w:w="280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Interest + Other</w:t>
            </w:r>
          </w:p>
        </w:tc>
        <w:tc>
          <w:tcPr>
            <w:tcW w:type="dxa" w:w="1312"/>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$256</w:t>
            </w:r>
          </w:p>
        </w:tc>
        <w:tc>
          <w:tcPr>
            <w:tcW w:type="dxa" w:w="1312"/>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$1,372</w:t>
            </w:r>
          </w:p>
        </w:tc>
        <w:tc>
          <w:tcPr>
            <w:tcW w:type="dxa" w:w="1312"/>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$2,158</w:t>
            </w:r>
          </w:p>
        </w:tc>
        <w:tc>
          <w:tcPr>
            <w:tcW w:type="dxa" w:w="1312"/>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$2,868</w:t>
            </w:r>
          </w:p>
        </w:tc>
        <w:tc>
          <w:tcPr>
            <w:tcW w:type="dxa" w:w="1312"/>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$2,000</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Transfer from R/E</w:t>
            </w:r>
          </w:p>
        </w:tc>
        <w:tc>
          <w:tcPr>
            <w:tcW w:type="dxa" w:w="1312"/>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($2,409)</w:t>
            </w:r>
          </w:p>
        </w:tc>
        <w:tc>
          <w:tcPr>
            <w:tcW w:type="dxa" w:w="1312"/>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($7,228)</w:t>
            </w:r>
          </w:p>
        </w:tc>
        <w:tc>
          <w:tcPr>
            <w:tcW w:type="dxa" w:w="1312"/>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($10,841)</w:t>
            </w:r>
          </w:p>
        </w:tc>
        <w:tc>
          <w:tcPr>
            <w:tcW w:type="dxa" w:w="1312"/>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($14,455)</w:t>
            </w:r>
          </w:p>
        </w:tc>
        <w:tc>
          <w:tcPr>
            <w:tcW w:type="dxa" w:w="1312"/>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($14,455)</w:t>
            </w:r>
          </w:p>
        </w:tc>
      </w:tr>
      <w:tr>
        <w:tc>
          <w:tcPr>
            <w:tcW w:type="dxa" w:w="280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Total Revenue</w:t>
            </w:r>
          </w:p>
        </w:tc>
        <w:tc>
          <w:tcPr>
            <w:tcW w:type="dxa" w:w="1312"/>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$39,690</w:t>
            </w:r>
          </w:p>
        </w:tc>
        <w:tc>
          <w:tcPr>
            <w:tcW w:type="dxa" w:w="1312"/>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$127,911</w:t>
            </w:r>
          </w:p>
        </w:tc>
        <w:tc>
          <w:tcPr>
            <w:tcW w:type="dxa" w:w="1312"/>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$203,151</w:t>
            </w:r>
          </w:p>
        </w:tc>
        <w:tc>
          <w:tcPr>
            <w:tcW w:type="dxa" w:w="1312"/>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$264,185</w:t>
            </w:r>
          </w:p>
        </w:tc>
        <w:tc>
          <w:tcPr>
            <w:tcW w:type="dxa" w:w="1312"/>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$263,318</w:t>
            </w:r>
          </w:p>
        </w:tc>
      </w:tr>
      <w:tr>
        <w:tc>
          <w:tcPr>
            <w:tcW w:type="dxa" w:w="28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Total Expenses</w:t>
            </w:r>
          </w:p>
        </w:tc>
        <w:tc>
          <w:tcPr>
            <w:tcW w:type="dxa" w:w="1312"/>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$56,176</w:t>
            </w:r>
          </w:p>
        </w:tc>
        <w:tc>
          <w:tcPr>
            <w:tcW w:type="dxa" w:w="1312"/>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$134,190</w:t>
            </w:r>
          </w:p>
        </w:tc>
        <w:tc>
          <w:tcPr>
            <w:tcW w:type="dxa" w:w="1312"/>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$190,955</w:t>
            </w:r>
          </w:p>
        </w:tc>
        <w:tc>
          <w:tcPr>
            <w:tcW w:type="dxa" w:w="1312"/>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$254,844</w:t>
            </w:r>
          </w:p>
        </w:tc>
        <w:tc>
          <w:tcPr>
            <w:tcW w:type="dxa" w:w="1312"/>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$263,219</w:t>
            </w:r>
          </w:p>
        </w:tc>
      </w:tr>
      <w:tr>
        <w:tc>
          <w:tcPr>
            <w:tcW w:type="dxa" w:w="280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left"/>
            </w:pPr>
            <w:r>
              <w:rPr>
                <w:rFonts w:ascii="Arial" w:cs="Arial" w:eastAsia="Arial" w:hAnsi="Arial"/>
                <w:b/>
                <w:bCs/>
                <w:color w:val="000000"/>
                <w:sz w:val="18"/>
                <w:szCs w:val="18"/>
              </w:rPr>
              <w:t xml:space="preserve">Net Income/(Loss)</w:t>
            </w:r>
          </w:p>
        </w:tc>
        <w:tc>
          <w:tcPr>
            <w:tcW w:type="dxa" w:w="1312"/>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bCs/>
                <w:color w:val="000000"/>
                <w:sz w:val="18"/>
                <w:szCs w:val="18"/>
              </w:rPr>
              <w:t xml:space="preserve">($16,487)</w:t>
            </w:r>
          </w:p>
        </w:tc>
        <w:tc>
          <w:tcPr>
            <w:tcW w:type="dxa" w:w="1312"/>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bCs/>
                <w:color w:val="000000"/>
                <w:sz w:val="18"/>
                <w:szCs w:val="18"/>
              </w:rPr>
              <w:t xml:space="preserve">($6,279)</w:t>
            </w:r>
          </w:p>
        </w:tc>
        <w:tc>
          <w:tcPr>
            <w:tcW w:type="dxa" w:w="1312"/>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bCs/>
                <w:color w:val="000000"/>
                <w:sz w:val="18"/>
                <w:szCs w:val="18"/>
              </w:rPr>
              <w:t xml:space="preserve">$12,196</w:t>
            </w:r>
          </w:p>
        </w:tc>
        <w:tc>
          <w:tcPr>
            <w:tcW w:type="dxa" w:w="1312"/>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bCs/>
                <w:color w:val="000000"/>
                <w:sz w:val="18"/>
                <w:szCs w:val="18"/>
              </w:rPr>
              <w:t xml:space="preserve">$9,342</w:t>
            </w:r>
          </w:p>
        </w:tc>
        <w:tc>
          <w:tcPr>
            <w:tcW w:type="dxa" w:w="1312"/>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bCs/>
                <w:color w:val="000000"/>
                <w:sz w:val="18"/>
                <w:szCs w:val="18"/>
              </w:rPr>
              <w:t xml:space="preserve">$99</w:t>
            </w:r>
          </w:p>
        </w:tc>
      </w:tr>
    </w:tbl>
    <w:p>
      <w:pPr>
        <w:pStyle w:val="Heading2"/>
        <w:spacing w:after="120" w:before="240"/>
      </w:pPr>
      <w:r>
        <w:rPr>
          <w:rFonts w:ascii="Arial" w:cs="Arial" w:eastAsia="Arial" w:hAnsi="Arial"/>
          <w:b/>
          <w:bCs/>
          <w:color w:val="2E75B6"/>
          <w:sz w:val="26"/>
          <w:szCs w:val="26"/>
        </w:rPr>
        <w:t xml:space="preserve">Expense Variance Analysis (FY2025 Full Year)</w:t>
      </w:r>
    </w:p>
    <w:p>
      <w:pPr>
        <w:spacing w:after="120"/>
      </w:pPr>
      <w:r>
        <w:rPr>
          <w:rFonts w:ascii="Arial" w:cs="Arial" w:eastAsia="Arial" w:hAnsi="Arial"/>
          <w:sz w:val="22"/>
          <w:szCs w:val="22"/>
        </w:rPr>
        <w:t xml:space="preserve">While total expenses came in under budget, several individual categories had significant overruns: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500"/>
        <w:gridCol w:w="1144"/>
        <w:gridCol w:w="1144"/>
        <w:gridCol w:w="1144"/>
        <w:gridCol w:w="1144"/>
        <w:gridCol w:w="1144"/>
        <w:gridCol w:w="1140"/>
      </w:tblGrid>
      <w:tr>
        <w:tc>
          <w:tcPr>
            <w:tcW w:type="dxa" w:w="2500"/>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Category</w:t>
            </w:r>
          </w:p>
        </w:tc>
        <w:tc>
          <w:tcPr>
            <w:tcW w:type="dxa" w:w="1144"/>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Actual</w:t>
            </w:r>
          </w:p>
        </w:tc>
        <w:tc>
          <w:tcPr>
            <w:tcW w:type="dxa" w:w="1144"/>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Budget</w:t>
            </w:r>
          </w:p>
        </w:tc>
        <w:tc>
          <w:tcPr>
            <w:tcW w:type="dxa" w:w="1144"/>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Var $</w:t>
            </w:r>
          </w:p>
        </w:tc>
        <w:tc>
          <w:tcPr>
            <w:tcW w:type="dxa" w:w="1144"/>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Var %</w:t>
            </w:r>
          </w:p>
        </w:tc>
        <w:tc>
          <w:tcPr>
            <w:tcW w:type="dxa" w:w="1144"/>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Status</w:t>
            </w:r>
          </w:p>
        </w:tc>
        <w:tc>
          <w:tcPr>
            <w:tcW w:type="dxa" w:w="1140"/>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Risk</w:t>
            </w:r>
          </w:p>
        </w:tc>
      </w:tr>
      <w:tr>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Fire Systems</w:t>
            </w:r>
          </w:p>
        </w:tc>
        <w:tc>
          <w:tcPr>
            <w:tcW w:type="dxa" w:w="114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$7,382</w:t>
            </w:r>
          </w:p>
        </w:tc>
        <w:tc>
          <w:tcPr>
            <w:tcW w:type="dxa" w:w="114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$3,500</w:t>
            </w:r>
          </w:p>
        </w:tc>
        <w:tc>
          <w:tcPr>
            <w:tcW w:type="dxa" w:w="114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($3,882)</w:t>
            </w:r>
          </w:p>
        </w:tc>
        <w:tc>
          <w:tcPr>
            <w:tcW w:type="dxa" w:w="114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111%</w:t>
            </w:r>
          </w:p>
        </w:tc>
        <w:tc>
          <w:tcPr>
            <w:tcW w:type="dxa" w:w="114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OVER</w:t>
            </w:r>
          </w:p>
        </w:tc>
        <w:tc>
          <w:tcPr>
            <w:tcW w:type="dxa" w:w="11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HIGH</w:t>
            </w:r>
          </w:p>
        </w:tc>
      </w:tr>
      <w:tr>
        <w:tc>
          <w:tcPr>
            <w:tcW w:type="dxa" w:w="2500"/>
            <w:tcBorders>
              <w:top w:val="single" w:color="CCCCCC" w:sz="1"/>
              <w:left w:val="single" w:color="CCCCCC" w:sz="1"/>
              <w:bottom w:val="single" w:color="CCCCCC" w:sz="1"/>
              <w:right w:val="single" w:color="CCCCCC" w:sz="1"/>
            </w:tcBorders>
            <w:shd w:fill="D4EDDA"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Consulting Fees</w:t>
            </w:r>
          </w:p>
        </w:tc>
        <w:tc>
          <w:tcPr>
            <w:tcW w:type="dxa" w:w="1144"/>
            <w:tcBorders>
              <w:top w:val="single" w:color="CCCCCC" w:sz="1"/>
              <w:left w:val="single" w:color="CCCCCC" w:sz="1"/>
              <w:bottom w:val="single" w:color="CCCCCC" w:sz="1"/>
              <w:right w:val="single" w:color="CCCCCC" w:sz="1"/>
            </w:tcBorders>
            <w:shd w:fill="D4EDDA"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$8,054</w:t>
            </w:r>
          </w:p>
        </w:tc>
        <w:tc>
          <w:tcPr>
            <w:tcW w:type="dxa" w:w="1144"/>
            <w:tcBorders>
              <w:top w:val="single" w:color="CCCCCC" w:sz="1"/>
              <w:left w:val="single" w:color="CCCCCC" w:sz="1"/>
              <w:bottom w:val="single" w:color="CCCCCC" w:sz="1"/>
              <w:right w:val="single" w:color="CCCCCC" w:sz="1"/>
            </w:tcBorders>
            <w:shd w:fill="D4EDDA"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$2,000</w:t>
            </w:r>
          </w:p>
        </w:tc>
        <w:tc>
          <w:tcPr>
            <w:tcW w:type="dxa" w:w="1144"/>
            <w:tcBorders>
              <w:top w:val="single" w:color="CCCCCC" w:sz="1"/>
              <w:left w:val="single" w:color="CCCCCC" w:sz="1"/>
              <w:bottom w:val="single" w:color="CCCCCC" w:sz="1"/>
              <w:right w:val="single" w:color="CCCCCC" w:sz="1"/>
            </w:tcBorders>
            <w:shd w:fill="D4EDDA"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($6,054)</w:t>
            </w:r>
          </w:p>
        </w:tc>
        <w:tc>
          <w:tcPr>
            <w:tcW w:type="dxa" w:w="1144"/>
            <w:tcBorders>
              <w:top w:val="single" w:color="CCCCCC" w:sz="1"/>
              <w:left w:val="single" w:color="CCCCCC" w:sz="1"/>
              <w:bottom w:val="single" w:color="CCCCCC" w:sz="1"/>
              <w:right w:val="single" w:color="CCCCCC" w:sz="1"/>
            </w:tcBorders>
            <w:shd w:fill="D4EDDA"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303%</w:t>
            </w:r>
          </w:p>
        </w:tc>
        <w:tc>
          <w:tcPr>
            <w:tcW w:type="dxa" w:w="1144"/>
            <w:tcBorders>
              <w:top w:val="single" w:color="CCCCCC" w:sz="1"/>
              <w:left w:val="single" w:color="CCCCCC" w:sz="1"/>
              <w:bottom w:val="single" w:color="CCCCCC" w:sz="1"/>
              <w:right w:val="single" w:color="CCCCCC" w:sz="1"/>
            </w:tcBorders>
            <w:shd w:fill="D4EDDA"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Dep. Report</w:t>
            </w:r>
          </w:p>
        </w:tc>
        <w:tc>
          <w:tcPr>
            <w:tcW w:type="dxa" w:w="1140"/>
            <w:tcBorders>
              <w:top w:val="single" w:color="CCCCCC" w:sz="1"/>
              <w:left w:val="single" w:color="CCCCCC" w:sz="1"/>
              <w:bottom w:val="single" w:color="CCCCCC" w:sz="1"/>
              <w:right w:val="single" w:color="CCCCCC" w:sz="1"/>
            </w:tcBorders>
            <w:shd w:fill="D4EDDA"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Explained</w:t>
            </w:r>
          </w:p>
        </w:tc>
      </w:tr>
      <w:tr>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Insurance</w:t>
            </w:r>
          </w:p>
        </w:tc>
        <w:tc>
          <w:tcPr>
            <w:tcW w:type="dxa" w:w="114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$41,772</w:t>
            </w:r>
          </w:p>
        </w:tc>
        <w:tc>
          <w:tcPr>
            <w:tcW w:type="dxa" w:w="114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$40,000</w:t>
            </w:r>
          </w:p>
        </w:tc>
        <w:tc>
          <w:tcPr>
            <w:tcW w:type="dxa" w:w="114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($1,772)</w:t>
            </w:r>
          </w:p>
        </w:tc>
        <w:tc>
          <w:tcPr>
            <w:tcW w:type="dxa" w:w="114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4.4%</w:t>
            </w:r>
          </w:p>
        </w:tc>
        <w:tc>
          <w:tcPr>
            <w:tcW w:type="dxa" w:w="114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OVER</w:t>
            </w:r>
          </w:p>
        </w:tc>
        <w:tc>
          <w:tcPr>
            <w:tcW w:type="dxa" w:w="11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Med</w:t>
            </w:r>
          </w:p>
        </w:tc>
      </w:tr>
      <w:tr>
        <w:tc>
          <w:tcPr>
            <w:tcW w:type="dxa" w:w="250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Elevator</w:t>
            </w:r>
          </w:p>
        </w:tc>
        <w:tc>
          <w:tcPr>
            <w:tcW w:type="dxa" w:w="114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$9,295</w:t>
            </w:r>
          </w:p>
        </w:tc>
        <w:tc>
          <w:tcPr>
            <w:tcW w:type="dxa" w:w="114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$8,000</w:t>
            </w:r>
          </w:p>
        </w:tc>
        <w:tc>
          <w:tcPr>
            <w:tcW w:type="dxa" w:w="114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($1,295)</w:t>
            </w:r>
          </w:p>
        </w:tc>
        <w:tc>
          <w:tcPr>
            <w:tcW w:type="dxa" w:w="114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16%</w:t>
            </w:r>
          </w:p>
        </w:tc>
        <w:tc>
          <w:tcPr>
            <w:tcW w:type="dxa" w:w="114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OVER</w:t>
            </w:r>
          </w:p>
        </w:tc>
        <w:tc>
          <w:tcPr>
            <w:tcW w:type="dxa" w:w="114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Med</w:t>
            </w:r>
          </w:p>
        </w:tc>
      </w:tr>
      <w:tr>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Water &amp; Sewer</w:t>
            </w:r>
          </w:p>
        </w:tc>
        <w:tc>
          <w:tcPr>
            <w:tcW w:type="dxa" w:w="114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$27,236</w:t>
            </w:r>
          </w:p>
        </w:tc>
        <w:tc>
          <w:tcPr>
            <w:tcW w:type="dxa" w:w="114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$25,000</w:t>
            </w:r>
          </w:p>
        </w:tc>
        <w:tc>
          <w:tcPr>
            <w:tcW w:type="dxa" w:w="114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($2,236)</w:t>
            </w:r>
          </w:p>
        </w:tc>
        <w:tc>
          <w:tcPr>
            <w:tcW w:type="dxa" w:w="114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8.9%</w:t>
            </w:r>
          </w:p>
        </w:tc>
        <w:tc>
          <w:tcPr>
            <w:tcW w:type="dxa" w:w="114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OVER</w:t>
            </w:r>
          </w:p>
        </w:tc>
        <w:tc>
          <w:tcPr>
            <w:tcW w:type="dxa" w:w="11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Med</w:t>
            </w:r>
          </w:p>
        </w:tc>
      </w:tr>
      <w:tr>
        <w:tc>
          <w:tcPr>
            <w:tcW w:type="dxa" w:w="250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Repairs &amp; Maint.</w:t>
            </w:r>
          </w:p>
        </w:tc>
        <w:tc>
          <w:tcPr>
            <w:tcW w:type="dxa" w:w="114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$31,784</w:t>
            </w:r>
          </w:p>
        </w:tc>
        <w:tc>
          <w:tcPr>
            <w:tcW w:type="dxa" w:w="114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$43,730</w:t>
            </w:r>
          </w:p>
        </w:tc>
        <w:tc>
          <w:tcPr>
            <w:tcW w:type="dxa" w:w="114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$11,946</w:t>
            </w:r>
          </w:p>
        </w:tc>
        <w:tc>
          <w:tcPr>
            <w:tcW w:type="dxa" w:w="114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-27%</w:t>
            </w:r>
          </w:p>
        </w:tc>
        <w:tc>
          <w:tcPr>
            <w:tcW w:type="dxa" w:w="114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Under</w:t>
            </w:r>
          </w:p>
        </w:tc>
        <w:tc>
          <w:tcPr>
            <w:tcW w:type="dxa" w:w="114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Note</w:t>
            </w:r>
          </w:p>
        </w:tc>
      </w:tr>
      <w:tr>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Heat (Gas)</w:t>
            </w:r>
          </w:p>
        </w:tc>
        <w:tc>
          <w:tcPr>
            <w:tcW w:type="dxa" w:w="114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$29,077</w:t>
            </w:r>
          </w:p>
        </w:tc>
        <w:tc>
          <w:tcPr>
            <w:tcW w:type="dxa" w:w="114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$34,000</w:t>
            </w:r>
          </w:p>
        </w:tc>
        <w:tc>
          <w:tcPr>
            <w:tcW w:type="dxa" w:w="114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$4,923</w:t>
            </w:r>
          </w:p>
        </w:tc>
        <w:tc>
          <w:tcPr>
            <w:tcW w:type="dxa" w:w="114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-14%</w:t>
            </w:r>
          </w:p>
        </w:tc>
        <w:tc>
          <w:tcPr>
            <w:tcW w:type="dxa" w:w="114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Under</w:t>
            </w:r>
          </w:p>
        </w:tc>
        <w:tc>
          <w:tcPr>
            <w:tcW w:type="dxa" w:w="11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OK</w:t>
            </w:r>
          </w:p>
        </w:tc>
      </w:tr>
      <w:tr>
        <w:tc>
          <w:tcPr>
            <w:tcW w:type="dxa" w:w="250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Hydro</w:t>
            </w:r>
          </w:p>
        </w:tc>
        <w:tc>
          <w:tcPr>
            <w:tcW w:type="dxa" w:w="114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$13,430</w:t>
            </w:r>
          </w:p>
        </w:tc>
        <w:tc>
          <w:tcPr>
            <w:tcW w:type="dxa" w:w="114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$16,500</w:t>
            </w:r>
          </w:p>
        </w:tc>
        <w:tc>
          <w:tcPr>
            <w:tcW w:type="dxa" w:w="114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$3,070</w:t>
            </w:r>
          </w:p>
        </w:tc>
        <w:tc>
          <w:tcPr>
            <w:tcW w:type="dxa" w:w="114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-19%</w:t>
            </w:r>
          </w:p>
        </w:tc>
        <w:tc>
          <w:tcPr>
            <w:tcW w:type="dxa" w:w="114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Under</w:t>
            </w:r>
          </w:p>
        </w:tc>
        <w:tc>
          <w:tcPr>
            <w:tcW w:type="dxa" w:w="114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OK</w:t>
            </w:r>
          </w:p>
        </w:tc>
      </w:tr>
      <w:tr>
        <w:tc>
          <w:tcPr>
            <w:tcW w:type="dxa" w:w="250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Snow Removal</w:t>
            </w:r>
          </w:p>
        </w:tc>
        <w:tc>
          <w:tcPr>
            <w:tcW w:type="dxa" w:w="114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$2,175</w:t>
            </w:r>
          </w:p>
        </w:tc>
        <w:tc>
          <w:tcPr>
            <w:tcW w:type="dxa" w:w="114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$4,000</w:t>
            </w:r>
          </w:p>
        </w:tc>
        <w:tc>
          <w:tcPr>
            <w:tcW w:type="dxa" w:w="114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$1,825</w:t>
            </w:r>
          </w:p>
        </w:tc>
        <w:tc>
          <w:tcPr>
            <w:tcW w:type="dxa" w:w="114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-46%</w:t>
            </w:r>
          </w:p>
        </w:tc>
        <w:tc>
          <w:tcPr>
            <w:tcW w:type="dxa" w:w="1144"/>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Under</w:t>
            </w:r>
          </w:p>
        </w:tc>
        <w:tc>
          <w:tcPr>
            <w:tcW w:type="dxa" w:w="11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OK</w:t>
            </w:r>
          </w:p>
        </w:tc>
      </w:tr>
      <w:tr>
        <w:tc>
          <w:tcPr>
            <w:tcW w:type="dxa" w:w="250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left"/>
            </w:pPr>
            <w:r>
              <w:rPr>
                <w:rFonts w:ascii="Arial" w:cs="Arial" w:eastAsia="Arial" w:hAnsi="Arial"/>
                <w:b/>
                <w:bCs/>
                <w:color w:val="000000"/>
                <w:sz w:val="18"/>
                <w:szCs w:val="18"/>
              </w:rPr>
              <w:t xml:space="preserve">Total Expenses</w:t>
            </w:r>
          </w:p>
        </w:tc>
        <w:tc>
          <w:tcPr>
            <w:tcW w:type="dxa" w:w="114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bCs/>
                <w:color w:val="000000"/>
                <w:sz w:val="18"/>
                <w:szCs w:val="18"/>
              </w:rPr>
              <w:t xml:space="preserve">$254,844</w:t>
            </w:r>
          </w:p>
        </w:tc>
        <w:tc>
          <w:tcPr>
            <w:tcW w:type="dxa" w:w="114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bCs/>
                <w:color w:val="000000"/>
                <w:sz w:val="18"/>
                <w:szCs w:val="18"/>
              </w:rPr>
              <w:t xml:space="preserve">$263,219</w:t>
            </w:r>
          </w:p>
        </w:tc>
        <w:tc>
          <w:tcPr>
            <w:tcW w:type="dxa" w:w="114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bCs/>
                <w:color w:val="000000"/>
                <w:sz w:val="18"/>
                <w:szCs w:val="18"/>
              </w:rPr>
              <w:t xml:space="preserve">$8,375</w:t>
            </w:r>
          </w:p>
        </w:tc>
        <w:tc>
          <w:tcPr>
            <w:tcW w:type="dxa" w:w="114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bCs/>
                <w:color w:val="000000"/>
                <w:sz w:val="18"/>
                <w:szCs w:val="18"/>
              </w:rPr>
              <w:t xml:space="preserve">-3.2%</w:t>
            </w:r>
          </w:p>
        </w:tc>
        <w:tc>
          <w:tcPr>
            <w:tcW w:type="dxa" w:w="1144"/>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bCs/>
                <w:color w:val="000000"/>
                <w:sz w:val="18"/>
                <w:szCs w:val="18"/>
              </w:rPr>
              <w:t xml:space="preserve">Under</w:t>
            </w:r>
          </w:p>
        </w:tc>
        <w:tc>
          <w:tcPr>
            <w:tcW w:type="dxa" w:w="114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bCs/>
                <w:color w:val="000000"/>
                <w:sz w:val="18"/>
                <w:szCs w:val="18"/>
              </w:rPr>
              <w:t xml:space="preserve">OK</w:t>
            </w:r>
          </w:p>
        </w:tc>
      </w:tr>
    </w:tbl>
    <w:p>
      <w:pPr>
        <w:pStyle w:val="Heading2"/>
        <w:spacing w:after="120" w:before="240"/>
      </w:pPr>
      <w:r>
        <w:rPr>
          <w:rFonts w:ascii="Arial" w:cs="Arial" w:eastAsia="Arial" w:hAnsi="Arial"/>
          <w:b/>
          <w:bCs/>
          <w:color w:val="2E75B6"/>
          <w:sz w:val="26"/>
          <w:szCs w:val="26"/>
        </w:rPr>
        <w:t xml:space="preserve">Items Requiring Explanation from CML</w:t>
      </w:r>
    </w:p>
    <w:p>
      <w:pPr>
        <w:spacing w:after="120"/>
      </w:pPr>
      <w:r>
        <w:rPr>
          <w:rFonts w:ascii="Arial" w:cs="Arial" w:eastAsia="Arial" w:hAnsi="Arial"/>
          <w:b/>
          <w:bCs/>
          <w:sz w:val="22"/>
          <w:szCs w:val="22"/>
        </w:rPr>
        <w:t xml:space="preserve">Fire Systems ($7,382 vs. $3,500, 111% over): </w:t>
      </w:r>
      <w:r>
        <w:rPr>
          <w:rFonts w:ascii="Arial" w:cs="Arial" w:eastAsia="Arial" w:hAnsi="Arial"/>
          <w:sz w:val="22"/>
          <w:szCs w:val="22"/>
        </w:rPr>
        <w:t xml:space="preserve">The GL shows a $3,612 payment to Evans Fire Protection in June 2025 and $2,942 to Western Canada Fire in January 2026. Combined with ongoing monthly fire monitoring charges, this category ran more than double the budget. Given the fire safety issue flagged in Unit 314 (unauthorized wall removal), some of these costs may relate to remediation. CML should provide a detailed breakdown.</w:t>
      </w:r>
    </w:p>
    <w:p>
      <w:pPr>
        <w:spacing w:after="120"/>
      </w:pPr>
      <w:r>
        <w:rPr>
          <w:rFonts w:ascii="Arial" w:cs="Arial" w:eastAsia="Arial" w:hAnsi="Arial"/>
          <w:b/>
          <w:bCs/>
          <w:sz w:val="22"/>
          <w:szCs w:val="22"/>
        </w:rPr>
        <w:t xml:space="preserve">Consulting Fees ($8,054 vs. $2,000, 303% over): </w:t>
      </w:r>
      <w:r>
        <w:rPr>
          <w:rFonts w:ascii="Arial" w:cs="Arial" w:eastAsia="Arial" w:hAnsi="Arial"/>
          <w:sz w:val="22"/>
          <w:szCs w:val="22"/>
        </w:rPr>
        <w:t xml:space="preserve">This expense is fully explained by the NLD Consulting depreciation report dated January 30, 2026 (File C-6376). NLD's benchmark analysis prices the report at $7,875 per occurrence on a 5-year cycle. The $2,000 annual budget was not designed to cover the periodic depreciation report fee. This is a legitimate, legally-required expense under Part 6.1 of the Strata Property Regulation. No further inquiry needed.</w:t>
      </w:r>
    </w:p>
    <w:p>
      <w:pPr>
        <w:spacing w:after="120"/>
      </w:pPr>
      <w:r>
        <w:rPr>
          <w:rFonts w:ascii="Arial" w:cs="Arial" w:eastAsia="Arial" w:hAnsi="Arial"/>
          <w:b/>
          <w:bCs/>
          <w:sz w:val="22"/>
          <w:szCs w:val="22"/>
        </w:rPr>
        <w:t xml:space="preserve">Repairs &amp; Maintenance ($31,784 vs. $43,730, 27% under): </w:t>
      </w:r>
      <w:r>
        <w:rPr>
          <w:rFonts w:ascii="Arial" w:cs="Arial" w:eastAsia="Arial" w:hAnsi="Arial"/>
          <w:sz w:val="22"/>
          <w:szCs w:val="22"/>
        </w:rPr>
        <w:t xml:space="preserve">While this appears favorable, a $12,000 underspend on maintenance in a building with known parkade membrane issues and deferred work (Attila Construction contract was cancelled after 4+ months of delays) raises the question of whether necessary maintenance is being deferred.</w:t>
      </w:r>
    </w:p>
    <w:p>
      <w:r>
        <w:br w:type="page"/>
      </w:r>
    </w:p>
    <w:p>
      <w:pPr>
        <w:pStyle w:val="Heading1"/>
        <w:spacing w:after="200" w:before="360"/>
      </w:pPr>
      <w:r>
        <w:rPr>
          <w:rFonts w:ascii="Arial" w:cs="Arial" w:eastAsia="Arial" w:hAnsi="Arial"/>
          <w:b/>
          <w:bCs/>
          <w:color w:val="1F4E79"/>
          <w:sz w:val="32"/>
          <w:szCs w:val="32"/>
        </w:rPr>
        <w:t xml:space="preserve">4. Contingency Reserve Fund Analysis</w:t>
      </w:r>
    </w:p>
    <w:p>
      <w:pPr>
        <w:spacing w:after="120"/>
      </w:pPr>
      <w:r>
        <w:rPr>
          <w:rFonts w:ascii="Arial" w:cs="Arial" w:eastAsia="Arial" w:hAnsi="Arial"/>
          <w:sz w:val="22"/>
          <w:szCs w:val="22"/>
        </w:rPr>
        <w:t xml:space="preserve">The CRF is held in a separate RBC account (105-198-6) and is properly segregated. The fund grew from $276,096 to $288,512 during FY2025, a net increase of $12,416.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
            </w:r>
          </w:p>
        </w:tc>
        <w:tc>
          <w:tcPr>
            <w:tcW w:type="dxa" w:w="3120"/>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FY 2025</w:t>
            </w:r>
          </w:p>
        </w:tc>
        <w:tc>
          <w:tcPr>
            <w:tcW w:type="dxa" w:w="3120"/>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Jan 2026</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Opening Balance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$276,096</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$288,512</w:t>
            </w:r>
          </w:p>
        </w:tc>
      </w:tr>
      <w:tr>
        <w:tc>
          <w:tcPr>
            <w:tcW w:type="dxa" w:w="312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Contributions</w:t>
            </w:r>
          </w:p>
        </w:tc>
        <w:tc>
          <w:tcPr>
            <w:tcW w:type="dxa" w:w="312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$24,712</w:t>
            </w:r>
          </w:p>
        </w:tc>
        <w:tc>
          <w:tcPr>
            <w:tcW w:type="dxa" w:w="312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$2,089</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Interest Income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$7,789</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$611</w:t>
            </w:r>
          </w:p>
        </w:tc>
      </w:tr>
      <w:tr>
        <w:tc>
          <w:tcPr>
            <w:tcW w:type="dxa" w:w="312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Total Revenue</w:t>
            </w:r>
          </w:p>
        </w:tc>
        <w:tc>
          <w:tcPr>
            <w:tcW w:type="dxa" w:w="312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$32,501</w:t>
            </w:r>
          </w:p>
        </w:tc>
        <w:tc>
          <w:tcPr>
            <w:tcW w:type="dxa" w:w="312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$2,700</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Approved Expenses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$10,500</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$0</w:t>
            </w:r>
          </w:p>
        </w:tc>
      </w:tr>
      <w:tr>
        <w:tc>
          <w:tcPr>
            <w:tcW w:type="dxa" w:w="312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Section 98.3 Expenses</w:t>
            </w:r>
          </w:p>
        </w:tc>
        <w:tc>
          <w:tcPr>
            <w:tcW w:type="dxa" w:w="312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$9,585</w:t>
            </w:r>
          </w:p>
        </w:tc>
        <w:tc>
          <w:tcPr>
            <w:tcW w:type="dxa" w:w="312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$0</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Total Expenses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$20,085</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$0</w:t>
            </w:r>
          </w:p>
        </w:tc>
      </w:tr>
      <w:tr>
        <w:tc>
          <w:tcPr>
            <w:tcW w:type="dxa" w:w="312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Loan to Operating</w:t>
            </w:r>
          </w:p>
        </w:tc>
        <w:tc>
          <w:tcPr>
            <w:tcW w:type="dxa" w:w="312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$0 (repaid)</w:t>
            </w:r>
          </w:p>
        </w:tc>
        <w:tc>
          <w:tcPr>
            <w:tcW w:type="dxa" w:w="312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$0</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000000"/>
                <w:sz w:val="18"/>
                <w:szCs w:val="18"/>
              </w:rPr>
              <w:t xml:space="preserve">Closing Balance</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bCs/>
                <w:color w:val="000000"/>
                <w:sz w:val="18"/>
                <w:szCs w:val="18"/>
              </w:rPr>
              <w:t xml:space="preserve">$288,512</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bCs/>
                <w:color w:val="000000"/>
                <w:sz w:val="18"/>
                <w:szCs w:val="18"/>
              </w:rPr>
              <w:t xml:space="preserve">$291,212</w:t>
            </w:r>
          </w:p>
        </w:tc>
      </w:tr>
    </w:tbl>
    <w:p>
      <w:pPr>
        <w:pStyle w:val="Heading2"/>
        <w:spacing w:after="120" w:before="240"/>
      </w:pPr>
      <w:r>
        <w:rPr>
          <w:rFonts w:ascii="Arial" w:cs="Arial" w:eastAsia="Arial" w:hAnsi="Arial"/>
          <w:b/>
          <w:bCs/>
          <w:color w:val="2E75B6"/>
          <w:sz w:val="26"/>
          <w:szCs w:val="26"/>
        </w:rPr>
        <w:t xml:space="preserve">CRF Regulatory Compliance Issues</w:t>
      </w:r>
    </w:p>
    <w:p>
      <w:pPr>
        <w:pStyle w:val="ListParagraph"/>
        <w:numPr>
          <w:ilvl w:val="0"/>
          <w:numId w:val="2"/>
        </w:numPr>
        <w:spacing w:after="80"/>
      </w:pPr>
      <w:r>
        <w:rPr>
          <w:rFonts w:ascii="Arial" w:cs="Arial" w:eastAsia="Arial" w:hAnsi="Arial"/>
          <w:b/>
          <w:bCs/>
          <w:color w:val="CC0000"/>
          <w:sz w:val="22"/>
          <w:szCs w:val="22"/>
        </w:rPr>
        <w:t xml:space="preserve">CRF contribution rate falls below the 10% minimum. </w:t>
      </w:r>
      <w:r>
        <w:rPr>
          <w:rFonts w:ascii="Arial" w:cs="Arial" w:eastAsia="Arial" w:hAnsi="Arial"/>
          <w:sz w:val="22"/>
          <w:szCs w:val="22"/>
        </w:rPr>
        <w:t xml:space="preserve">Annual CRF contributions of $24,712 against an operating budget of $263,219 equals 9.39%. Since November 1, 2023, BC regulations require a minimum 10% of operating budget ($26,322 required). The FY2026 budget must increase CRF contributions by at least $1,610 per year to meet compliance.</w:t>
      </w:r>
    </w:p>
    <w:p>
      <w:pPr>
        <w:pStyle w:val="ListParagraph"/>
        <w:numPr>
          <w:ilvl w:val="0"/>
          <w:numId w:val="2"/>
        </w:numPr>
        <w:spacing w:after="80"/>
      </w:pPr>
      <w:r>
        <w:rPr>
          <w:rFonts w:ascii="Arial" w:cs="Arial" w:eastAsia="Arial" w:hAnsi="Arial"/>
          <w:b/>
          <w:bCs/>
          <w:sz w:val="22"/>
          <w:szCs w:val="22"/>
        </w:rPr>
        <w:t xml:space="preserve">CRF interest income of $7,789 is healthy, </w:t>
      </w:r>
      <w:r>
        <w:rPr>
          <w:rFonts w:ascii="Arial" w:cs="Arial" w:eastAsia="Arial" w:hAnsi="Arial"/>
          <w:sz w:val="22"/>
          <w:szCs w:val="22"/>
        </w:rPr>
        <w:t xml:space="preserve">implying an approximate 2.7% return on average balances. Monthly interest averaging ~$600 suggests the funds are in a reasonable interest-bearing account.</w:t>
      </w:r>
    </w:p>
    <w:p>
      <w:pPr>
        <w:pStyle w:val="ListParagraph"/>
        <w:numPr>
          <w:ilvl w:val="0"/>
          <w:numId w:val="2"/>
        </w:numPr>
        <w:spacing w:after="80"/>
      </w:pPr>
      <w:r>
        <w:rPr>
          <w:rFonts w:ascii="Arial" w:cs="Arial" w:eastAsia="Arial" w:hAnsi="Arial"/>
          <w:b/>
          <w:bCs/>
          <w:sz w:val="22"/>
          <w:szCs w:val="22"/>
        </w:rPr>
        <w:t xml:space="preserve">Section 98.3 expenditures of $9,585 require documentation. </w:t>
      </w:r>
      <w:r>
        <w:rPr>
          <w:rFonts w:ascii="Arial" w:cs="Arial" w:eastAsia="Arial" w:hAnsi="Arial"/>
          <w:sz w:val="22"/>
          <w:szCs w:val="22"/>
        </w:rPr>
        <w:t xml:space="preserve">These are emergency/urgent repair expenditures permitted under the Strata Property Act without a full owner vote. CML should provide supporting documentation confirming proper authorization.</w:t>
      </w:r>
    </w:p>
    <w:p>
      <w:pPr>
        <w:pStyle w:val="ListParagraph"/>
        <w:numPr>
          <w:ilvl w:val="0"/>
          <w:numId w:val="2"/>
        </w:numPr>
        <w:spacing w:after="80"/>
      </w:pPr>
      <w:r>
        <w:rPr>
          <w:rFonts w:ascii="Arial" w:cs="Arial" w:eastAsia="Arial" w:hAnsi="Arial"/>
          <w:b/>
          <w:bCs/>
          <w:sz w:val="22"/>
          <w:szCs w:val="22"/>
        </w:rPr>
        <w:t xml:space="preserve">Approved CRF expenses of $10,500 </w:t>
      </w:r>
      <w:r>
        <w:rPr>
          <w:rFonts w:ascii="Arial" w:cs="Arial" w:eastAsia="Arial" w:hAnsi="Arial"/>
          <w:sz w:val="22"/>
          <w:szCs w:val="22"/>
        </w:rPr>
        <w:t xml:space="preserve">should be traceable to a council vote or owner resolution. Request the specifics of what this covered.</w:t>
      </w:r>
    </w:p>
    <w:p>
      <w:pPr>
        <w:pStyle w:val="ListParagraph"/>
        <w:numPr>
          <w:ilvl w:val="0"/>
          <w:numId w:val="2"/>
        </w:numPr>
        <w:spacing w:after="80"/>
      </w:pPr>
      <w:r>
        <w:rPr>
          <w:rFonts w:ascii="Arial" w:cs="Arial" w:eastAsia="Arial" w:hAnsi="Arial"/>
          <w:b/>
          <w:bCs/>
          <w:sz w:val="22"/>
          <w:szCs w:val="22"/>
        </w:rPr>
        <w:t xml:space="preserve">CRF balance of $291,212 represents ~111% of the annual operating budget. </w:t>
      </w:r>
      <w:r>
        <w:rPr>
          <w:rFonts w:ascii="Arial" w:cs="Arial" w:eastAsia="Arial" w:hAnsi="Arial"/>
          <w:sz w:val="22"/>
          <w:szCs w:val="22"/>
        </w:rPr>
        <w:t xml:space="preserve">This exceeds the 25% best-practice benchmark and provides a reasonable capital reserve. However, with the ~$280K parkade membrane project looming, the CRF could be substantially depleted. The depreciation report approved in January 2026 should address the long-term funding adequacy.</w:t>
      </w:r>
    </w:p>
    <w:p>
      <w:pPr>
        <w:pStyle w:val="Heading2"/>
        <w:spacing w:after="120" w:before="240"/>
      </w:pPr>
      <w:r>
        <w:rPr>
          <w:rFonts w:ascii="Arial" w:cs="Arial" w:eastAsia="Arial" w:hAnsi="Arial"/>
          <w:b/>
          <w:bCs/>
          <w:color w:val="2E75B6"/>
          <w:sz w:val="26"/>
          <w:szCs w:val="26"/>
        </w:rPr>
        <w:t xml:space="preserve">CRF Loan Pattern Analysis</w:t>
      </w:r>
    </w:p>
    <w:p>
      <w:pPr>
        <w:spacing w:after="120"/>
      </w:pPr>
      <w:r>
        <w:rPr>
          <w:rFonts w:ascii="Arial" w:cs="Arial" w:eastAsia="Arial" w:hAnsi="Arial"/>
          <w:sz w:val="22"/>
          <w:szCs w:val="22"/>
        </w:rPr>
        <w:t xml:space="preserve">The financial statements confirm a recurring pattern of CRF-to-operating fund loans timed around the annual insurance premium payment:</w:t>
      </w:r>
    </w:p>
    <w:p>
      <w:pPr>
        <w:pStyle w:val="ListParagraph"/>
        <w:numPr>
          <w:ilvl w:val="0"/>
          <w:numId w:val="2"/>
        </w:numPr>
        <w:spacing w:after="80"/>
      </w:pPr>
      <w:r>
        <w:rPr>
          <w:rFonts w:ascii="Arial" w:cs="Arial" w:eastAsia="Arial" w:hAnsi="Arial"/>
          <w:b/>
          <w:bCs/>
          <w:sz w:val="22"/>
          <w:szCs w:val="22"/>
        </w:rPr>
        <w:t xml:space="preserve">FY2025: </w:t>
      </w:r>
      <w:r>
        <w:rPr>
          <w:rFonts w:ascii="Arial" w:cs="Arial" w:eastAsia="Arial" w:hAnsi="Arial"/>
          <w:sz w:val="22"/>
          <w:szCs w:val="22"/>
        </w:rPr>
        <w:t xml:space="preserve">$12,000 borrowed in February, increased to $27,000 by June, fully repaid by September. Compliant with Regulation 6.3 (repaid before year-end).</w:t>
      </w:r>
    </w:p>
    <w:p>
      <w:pPr>
        <w:pStyle w:val="ListParagraph"/>
        <w:numPr>
          <w:ilvl w:val="0"/>
          <w:numId w:val="2"/>
        </w:numPr>
        <w:spacing w:after="80"/>
      </w:pPr>
      <w:r>
        <w:rPr>
          <w:rFonts w:ascii="Arial" w:cs="Arial" w:eastAsia="Arial" w:hAnsi="Arial"/>
          <w:b/>
          <w:bCs/>
          <w:sz w:val="22"/>
          <w:szCs w:val="22"/>
        </w:rPr>
        <w:t xml:space="preserve">FY2026: </w:t>
      </w:r>
      <w:r>
        <w:rPr>
          <w:rFonts w:ascii="Arial" w:cs="Arial" w:eastAsia="Arial" w:hAnsi="Arial"/>
          <w:sz w:val="22"/>
          <w:szCs w:val="22"/>
        </w:rPr>
        <w:t xml:space="preserve">Per Abhi Chopra's February 23, 2026 email, another $12,000 has been transferred from CRF to operating. The January 2026 balance sheet shows no loan balance, confirming this occurred in February.</w:t>
      </w:r>
    </w:p>
    <w:p>
      <w:pPr>
        <w:spacing w:after="120"/>
      </w:pPr>
      <w:r>
        <w:rPr>
          <w:rFonts w:ascii="Arial" w:cs="Arial" w:eastAsia="Arial" w:hAnsi="Arial"/>
          <w:sz w:val="22"/>
          <w:szCs w:val="22"/>
        </w:rPr>
        <w:t xml:space="preserve">While each individual loan may comply with the letter of the law, the pattern indicates the operating fund is structurally underfunded for the insurance payment cycle. The FY2026 budget should either increase strata fees to build a sufficient operating cash reserve, or establish a formal pre-funding mechanism for the insurance premium.</w:t>
      </w:r>
    </w:p>
    <w:p>
      <w:r>
        <w:br w:type="page"/>
      </w:r>
    </w:p>
    <w:p>
      <w:pPr>
        <w:pStyle w:val="Heading1"/>
        <w:spacing w:after="200" w:before="360"/>
      </w:pPr>
      <w:r>
        <w:rPr>
          <w:rFonts w:ascii="Arial" w:cs="Arial" w:eastAsia="Arial" w:hAnsi="Arial"/>
          <w:b/>
          <w:bCs/>
          <w:color w:val="1F4E79"/>
          <w:sz w:val="32"/>
          <w:szCs w:val="32"/>
        </w:rPr>
        <w:t xml:space="preserve">5. Bank Reconciliation Review</w:t>
      </w:r>
    </w:p>
    <w:p>
      <w:pPr>
        <w:spacing w:after="120"/>
      </w:pPr>
      <w:r>
        <w:rPr>
          <w:rFonts w:ascii="Arial" w:cs="Arial" w:eastAsia="Arial" w:hAnsi="Arial"/>
          <w:sz w:val="22"/>
          <w:szCs w:val="22"/>
        </w:rPr>
        <w:t xml:space="preserve">All bank reconciliations reviewed reconcile to zero difference. This is a positive indicator of CML's bookkeeping controls.</w:t>
      </w:r>
    </w:p>
    <w:p>
      <w:pPr>
        <w:pStyle w:val="ListParagraph"/>
        <w:numPr>
          <w:ilvl w:val="0"/>
          <w:numId w:val="2"/>
        </w:numPr>
        <w:spacing w:after="80"/>
      </w:pPr>
      <w:r>
        <w:rPr>
          <w:rFonts w:ascii="Arial" w:cs="Arial" w:eastAsia="Arial" w:hAnsi="Arial"/>
          <w:b/>
          <w:bCs/>
          <w:sz w:val="22"/>
          <w:szCs w:val="22"/>
        </w:rPr>
        <w:t xml:space="preserve">Operating Account (RBC 104-933-7): </w:t>
      </w:r>
      <w:r>
        <w:rPr>
          <w:rFonts w:ascii="Arial" w:cs="Arial" w:eastAsia="Arial" w:hAnsi="Arial"/>
          <w:sz w:val="22"/>
          <w:szCs w:val="22"/>
        </w:rPr>
        <w:t xml:space="preserve">Reconciled with $0 difference at every month-end. Outstanding items consist only of recent checks clearing in the subsequent period. No stale-dated or unexplained items.</w:t>
      </w:r>
    </w:p>
    <w:p>
      <w:pPr>
        <w:pStyle w:val="ListParagraph"/>
        <w:numPr>
          <w:ilvl w:val="0"/>
          <w:numId w:val="2"/>
        </w:numPr>
        <w:spacing w:after="80"/>
      </w:pPr>
      <w:r>
        <w:rPr>
          <w:rFonts w:ascii="Arial" w:cs="Arial" w:eastAsia="Arial" w:hAnsi="Arial"/>
          <w:b/>
          <w:bCs/>
          <w:sz w:val="22"/>
          <w:szCs w:val="22"/>
        </w:rPr>
        <w:t xml:space="preserve">CRF Account (RBC 105-198-6): </w:t>
      </w:r>
      <w:r>
        <w:rPr>
          <w:rFonts w:ascii="Arial" w:cs="Arial" w:eastAsia="Arial" w:hAnsi="Arial"/>
          <w:sz w:val="22"/>
          <w:szCs w:val="22"/>
        </w:rPr>
        <w:t xml:space="preserve">Reconciled with $0 difference. Activity limited to monthly contributions and interest postings.</w:t>
      </w:r>
    </w:p>
    <w:p>
      <w:pPr>
        <w:spacing w:after="120"/>
      </w:pPr>
      <w:r>
        <w:rPr>
          <w:rFonts w:ascii="Arial" w:cs="Arial" w:eastAsia="Arial" w:hAnsi="Arial"/>
          <w:sz w:val="22"/>
          <w:szCs w:val="22"/>
        </w:rPr>
        <w:t xml:space="preserve">The clean reconciliation record confirms that the bank balances reported on the financial statements are reliable and properly supported.</w:t>
      </w:r>
    </w:p>
    <w:p>
      <w:pPr>
        <w:pStyle w:val="Heading1"/>
        <w:spacing w:after="200" w:before="360"/>
      </w:pPr>
      <w:r>
        <w:rPr>
          <w:rFonts w:ascii="Arial" w:cs="Arial" w:eastAsia="Arial" w:hAnsi="Arial"/>
          <w:b/>
          <w:bCs/>
          <w:color w:val="1F4E79"/>
          <w:sz w:val="32"/>
          <w:szCs w:val="32"/>
        </w:rPr>
        <w:t xml:space="preserve">6. Accounts Receivable Analysis</w:t>
      </w:r>
    </w:p>
    <w:p>
      <w:pPr>
        <w:spacing w:after="120"/>
      </w:pPr>
      <w:r>
        <w:rPr>
          <w:rFonts w:ascii="Arial" w:cs="Arial" w:eastAsia="Arial" w:hAnsi="Arial"/>
          <w:sz w:val="22"/>
          <w:szCs w:val="22"/>
        </w:rPr>
        <w:t xml:space="preserve">Total AR as of February 13, 2026 is $2,107, representing less than one month of strata fee revenue. This is a reasonable collection rate.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1560"/>
        <w:gridCol w:w="1560"/>
        <w:gridCol w:w="1560"/>
        <w:gridCol w:w="1560"/>
        <w:gridCol w:w="1560"/>
      </w:tblGrid>
      <w:tr>
        <w:tc>
          <w:tcPr>
            <w:tcW w:type="dxa" w:w="1560"/>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Unit / Owner</w:t>
            </w:r>
          </w:p>
        </w:tc>
        <w:tc>
          <w:tcPr>
            <w:tcW w:type="dxa" w:w="1560"/>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Current</w:t>
            </w:r>
          </w:p>
        </w:tc>
        <w:tc>
          <w:tcPr>
            <w:tcW w:type="dxa" w:w="1560"/>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31-60</w:t>
            </w:r>
          </w:p>
        </w:tc>
        <w:tc>
          <w:tcPr>
            <w:tcW w:type="dxa" w:w="1560"/>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61-90</w:t>
            </w:r>
          </w:p>
        </w:tc>
        <w:tc>
          <w:tcPr>
            <w:tcW w:type="dxa" w:w="1560"/>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Over 90</w:t>
            </w:r>
          </w:p>
        </w:tc>
        <w:tc>
          <w:tcPr>
            <w:tcW w:type="dxa" w:w="1560"/>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Total</w:t>
            </w:r>
          </w:p>
        </w:tc>
      </w:tr>
      <w:tr>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101-540 ICS</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$1,328</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$0</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$0</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$166</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$1,495</w:t>
            </w:r>
          </w:p>
        </w:tc>
      </w:tr>
      <w:tr>
        <w:tc>
          <w:tcPr>
            <w:tcW w:type="dxa" w:w="156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309 Enochsen</w:t>
            </w:r>
          </w:p>
        </w:tc>
        <w:tc>
          <w:tcPr>
            <w:tcW w:type="dxa" w:w="156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$75</w:t>
            </w:r>
          </w:p>
        </w:tc>
        <w:tc>
          <w:tcPr>
            <w:tcW w:type="dxa" w:w="156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$0</w:t>
            </w:r>
          </w:p>
        </w:tc>
        <w:tc>
          <w:tcPr>
            <w:tcW w:type="dxa" w:w="156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$0</w:t>
            </w:r>
          </w:p>
        </w:tc>
        <w:tc>
          <w:tcPr>
            <w:tcW w:type="dxa" w:w="156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$0</w:t>
            </w:r>
          </w:p>
        </w:tc>
        <w:tc>
          <w:tcPr>
            <w:tcW w:type="dxa" w:w="156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$75</w:t>
            </w:r>
          </w:p>
        </w:tc>
      </w:tr>
      <w:tr>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314 Allgaier</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$0</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$30</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$0</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$0</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$30</w:t>
            </w:r>
          </w:p>
        </w:tc>
      </w:tr>
      <w:tr>
        <w:tc>
          <w:tcPr>
            <w:tcW w:type="dxa" w:w="156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409 Teasdale</w:t>
            </w:r>
          </w:p>
        </w:tc>
        <w:tc>
          <w:tcPr>
            <w:tcW w:type="dxa" w:w="156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$261</w:t>
            </w:r>
          </w:p>
        </w:tc>
        <w:tc>
          <w:tcPr>
            <w:tcW w:type="dxa" w:w="156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$0</w:t>
            </w:r>
          </w:p>
        </w:tc>
        <w:tc>
          <w:tcPr>
            <w:tcW w:type="dxa" w:w="156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$0</w:t>
            </w:r>
          </w:p>
        </w:tc>
        <w:tc>
          <w:tcPr>
            <w:tcW w:type="dxa" w:w="156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$0</w:t>
            </w:r>
          </w:p>
        </w:tc>
        <w:tc>
          <w:tcPr>
            <w:tcW w:type="dxa" w:w="156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$261</w:t>
            </w:r>
          </w:p>
        </w:tc>
      </w:tr>
      <w:tr>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411 Morrison Est.</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$248</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$0</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$0</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$0</w:t>
            </w:r>
          </w:p>
        </w:tc>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$248</w:t>
            </w:r>
          </w:p>
        </w:tc>
      </w:tr>
      <w:tr>
        <w:tc>
          <w:tcPr>
            <w:tcW w:type="dxa" w:w="156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left"/>
            </w:pPr>
            <w:r>
              <w:rPr>
                <w:rFonts w:ascii="Arial" w:cs="Arial" w:eastAsia="Arial" w:hAnsi="Arial"/>
                <w:b/>
                <w:bCs/>
                <w:color w:val="000000"/>
                <w:sz w:val="18"/>
                <w:szCs w:val="18"/>
              </w:rPr>
              <w:t xml:space="preserve">Grand Total</w:t>
            </w:r>
          </w:p>
        </w:tc>
        <w:tc>
          <w:tcPr>
            <w:tcW w:type="dxa" w:w="156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bCs/>
                <w:color w:val="000000"/>
                <w:sz w:val="18"/>
                <w:szCs w:val="18"/>
              </w:rPr>
              <w:t xml:space="preserve">$1,912</w:t>
            </w:r>
          </w:p>
        </w:tc>
        <w:tc>
          <w:tcPr>
            <w:tcW w:type="dxa" w:w="156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bCs/>
                <w:color w:val="000000"/>
                <w:sz w:val="18"/>
                <w:szCs w:val="18"/>
              </w:rPr>
              <w:t xml:space="preserve">$30</w:t>
            </w:r>
          </w:p>
        </w:tc>
        <w:tc>
          <w:tcPr>
            <w:tcW w:type="dxa" w:w="156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bCs/>
                <w:color w:val="000000"/>
                <w:sz w:val="18"/>
                <w:szCs w:val="18"/>
              </w:rPr>
              <w:t xml:space="preserve">$0</w:t>
            </w:r>
          </w:p>
        </w:tc>
        <w:tc>
          <w:tcPr>
            <w:tcW w:type="dxa" w:w="156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bCs/>
                <w:color w:val="000000"/>
                <w:sz w:val="18"/>
                <w:szCs w:val="18"/>
              </w:rPr>
              <w:t xml:space="preserve">$166</w:t>
            </w:r>
          </w:p>
        </w:tc>
        <w:tc>
          <w:tcPr>
            <w:tcW w:type="dxa" w:w="156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bCs/>
                <w:color w:val="000000"/>
                <w:sz w:val="18"/>
                <w:szCs w:val="18"/>
              </w:rPr>
              <w:t xml:space="preserve">$2,107</w:t>
            </w:r>
          </w:p>
        </w:tc>
      </w:tr>
    </w:tbl>
    <w:p>
      <w:pPr>
        <w:pStyle w:val="Heading2"/>
        <w:spacing w:after="120" w:before="240"/>
      </w:pPr>
      <w:r>
        <w:rPr>
          <w:rFonts w:ascii="Arial" w:cs="Arial" w:eastAsia="Arial" w:hAnsi="Arial"/>
          <w:b/>
          <w:bCs/>
          <w:color w:val="2E75B6"/>
          <w:sz w:val="26"/>
          <w:szCs w:val="26"/>
        </w:rPr>
        <w:t xml:space="preserve">AR Observations</w:t>
      </w:r>
    </w:p>
    <w:p>
      <w:pPr>
        <w:pStyle w:val="ListParagraph"/>
        <w:numPr>
          <w:ilvl w:val="0"/>
          <w:numId w:val="2"/>
        </w:numPr>
        <w:spacing w:after="80"/>
      </w:pPr>
      <w:r>
        <w:rPr>
          <w:rFonts w:ascii="Arial" w:cs="Arial" w:eastAsia="Arial" w:hAnsi="Arial"/>
          <w:b/>
          <w:bCs/>
          <w:sz w:val="22"/>
          <w:szCs w:val="22"/>
        </w:rPr>
        <w:t xml:space="preserve">Unit 411 (Estate of Desiree Morrison): </w:t>
      </w:r>
      <w:r>
        <w:rPr>
          <w:rFonts w:ascii="Arial" w:cs="Arial" w:eastAsia="Arial" w:hAnsi="Arial"/>
          <w:sz w:val="22"/>
          <w:szCs w:val="22"/>
        </w:rPr>
        <w:t xml:space="preserve">Chronic debtor throughout the year, peaking at $2,482 in January 2026 (including $1,239 over 90 days). Balance reduced to $248 by February, suggesting a payment from the estate. Lien activity ($862 in lien expenses for the year) confirms CML is pursuing collection. Given this is an estate, the collection timeline may be constrained by probate.</w:t>
      </w:r>
    </w:p>
    <w:p>
      <w:pPr>
        <w:pStyle w:val="ListParagraph"/>
        <w:numPr>
          <w:ilvl w:val="0"/>
          <w:numId w:val="2"/>
        </w:numPr>
        <w:spacing w:after="80"/>
      </w:pPr>
      <w:r>
        <w:rPr>
          <w:rFonts w:ascii="Arial" w:cs="Arial" w:eastAsia="Arial" w:hAnsi="Arial"/>
          <w:b/>
          <w:bCs/>
          <w:sz w:val="22"/>
          <w:szCs w:val="22"/>
        </w:rPr>
        <w:t xml:space="preserve">Unit 101-540 (Interior Community Services): </w:t>
      </w:r>
      <w:r>
        <w:rPr>
          <w:rFonts w:ascii="Arial" w:cs="Arial" w:eastAsia="Arial" w:hAnsi="Arial"/>
          <w:sz w:val="22"/>
          <w:szCs w:val="22"/>
        </w:rPr>
        <w:t xml:space="preserve">$1,495 outstanding with $166 over 90 days. This is the largest current debtor and appears to be a commercial unit. Worth monitoring.</w:t>
      </w:r>
    </w:p>
    <w:p>
      <w:pPr>
        <w:pStyle w:val="ListParagraph"/>
        <w:numPr>
          <w:ilvl w:val="0"/>
          <w:numId w:val="2"/>
        </w:numPr>
        <w:spacing w:after="80"/>
      </w:pPr>
      <w:r>
        <w:rPr>
          <w:rFonts w:ascii="Arial" w:cs="Arial" w:eastAsia="Arial" w:hAnsi="Arial"/>
          <w:b/>
          <w:bCs/>
          <w:sz w:val="22"/>
          <w:szCs w:val="22"/>
        </w:rPr>
        <w:t xml:space="preserve">Unit 409 (Richard Teasdale): </w:t>
      </w:r>
      <w:r>
        <w:rPr>
          <w:rFonts w:ascii="Arial" w:cs="Arial" w:eastAsia="Arial" w:hAnsi="Arial"/>
          <w:sz w:val="22"/>
          <w:szCs w:val="22"/>
        </w:rPr>
        <w:t xml:space="preserve">Recurring $261 balance appearing monthly but staying current. Likely a consistent late-payer with amounts clearing within 30 days.</w:t>
      </w:r>
    </w:p>
    <w:p>
      <w:pPr>
        <w:pStyle w:val="ListParagraph"/>
        <w:numPr>
          <w:ilvl w:val="0"/>
          <w:numId w:val="2"/>
        </w:numPr>
        <w:spacing w:after="80"/>
      </w:pPr>
      <w:r>
        <w:rPr>
          <w:rFonts w:ascii="Arial" w:cs="Arial" w:eastAsia="Arial" w:hAnsi="Arial"/>
          <w:b/>
          <w:bCs/>
          <w:sz w:val="22"/>
          <w:szCs w:val="22"/>
        </w:rPr>
        <w:t xml:space="preserve">Unit 314 (Claire Allgaier): </w:t>
      </w:r>
      <w:r>
        <w:rPr>
          <w:rFonts w:ascii="Arial" w:cs="Arial" w:eastAsia="Arial" w:hAnsi="Arial"/>
          <w:sz w:val="22"/>
          <w:szCs w:val="22"/>
        </w:rPr>
        <w:t xml:space="preserve">Small $30 balance. This is the unit flagged for the unauthorized wall removal fire safety issue.</w:t>
      </w:r>
    </w:p>
    <w:p>
      <w:pPr>
        <w:spacing w:after="120"/>
      </w:pPr>
      <w:r>
        <w:rPr>
          <w:rFonts w:ascii="Arial" w:cs="Arial" w:eastAsia="Arial" w:hAnsi="Arial"/>
          <w:sz w:val="22"/>
          <w:szCs w:val="22"/>
        </w:rPr>
        <w:t xml:space="preserve">Per the CPA checklist from the prior review, delinquent accounts in a senior-oriented building can indicate affordability stress. The current AR level is manageable, but the upcoming ~3% strata fee increase and potential special levy for the parkade project should be monitored for collection impact.</w:t>
      </w:r>
    </w:p>
    <w:p>
      <w:r>
        <w:br w:type="page"/>
      </w:r>
    </w:p>
    <w:p>
      <w:pPr>
        <w:pStyle w:val="Heading1"/>
        <w:spacing w:after="200" w:before="360"/>
      </w:pPr>
      <w:r>
        <w:rPr>
          <w:rFonts w:ascii="Arial" w:cs="Arial" w:eastAsia="Arial" w:hAnsi="Arial"/>
          <w:b/>
          <w:bCs/>
          <w:color w:val="1F4E79"/>
          <w:sz w:val="32"/>
          <w:szCs w:val="32"/>
        </w:rPr>
        <w:t xml:space="preserve">7. Insurance Premium Analysis</w:t>
      </w:r>
    </w:p>
    <w:p>
      <w:pPr>
        <w:spacing w:after="120"/>
      </w:pPr>
      <w:r>
        <w:rPr>
          <w:rFonts w:ascii="Arial" w:cs="Arial" w:eastAsia="Arial" w:hAnsi="Arial"/>
          <w:sz w:val="22"/>
          <w:szCs w:val="22"/>
        </w:rPr>
        <w:t xml:space="preserve">Insurance is the single largest expense category at $41,772 (16.4% of total operating expenses). This drives the annual cash flow cycle that triggers CRF borrowing.</w:t>
      </w:r>
    </w:p>
    <w:p>
      <w:pPr>
        <w:pStyle w:val="ListParagraph"/>
        <w:numPr>
          <w:ilvl w:val="0"/>
          <w:numId w:val="2"/>
        </w:numPr>
        <w:spacing w:after="80"/>
      </w:pPr>
      <w:r>
        <w:rPr>
          <w:rFonts w:ascii="Arial" w:cs="Arial" w:eastAsia="Arial" w:hAnsi="Arial"/>
          <w:b/>
          <w:bCs/>
          <w:sz w:val="22"/>
          <w:szCs w:val="22"/>
        </w:rPr>
        <w:t xml:space="preserve">FY2025 actual: $41,772 </w:t>
      </w:r>
      <w:r>
        <w:rPr>
          <w:rFonts w:ascii="Arial" w:cs="Arial" w:eastAsia="Arial" w:hAnsi="Arial"/>
          <w:sz w:val="22"/>
          <w:szCs w:val="22"/>
        </w:rPr>
        <w:t xml:space="preserve">vs. $40,000 budget (4.4% over). The premium is placed through HUB International and paid in a lump sum early in the fiscal year.</w:t>
      </w:r>
    </w:p>
    <w:p>
      <w:pPr>
        <w:pStyle w:val="ListParagraph"/>
        <w:numPr>
          <w:ilvl w:val="0"/>
          <w:numId w:val="2"/>
        </w:numPr>
        <w:spacing w:after="80"/>
      </w:pPr>
      <w:r>
        <w:rPr>
          <w:rFonts w:ascii="Arial" w:cs="Arial" w:eastAsia="Arial" w:hAnsi="Arial"/>
          <w:b/>
          <w:bCs/>
          <w:sz w:val="22"/>
          <w:szCs w:val="22"/>
        </w:rPr>
        <w:t xml:space="preserve">Premium as % of operating budget: 15.9%. </w:t>
      </w:r>
      <w:r>
        <w:rPr>
          <w:rFonts w:ascii="Arial" w:cs="Arial" w:eastAsia="Arial" w:hAnsi="Arial"/>
          <w:sz w:val="22"/>
          <w:szCs w:val="22"/>
        </w:rPr>
        <w:t xml:space="preserve">The prior review estimated 20-35% as typical for a 54-unit building. KAS1911 is at the lower end, which is positive and may reflect the recent BC insurance market softening.</w:t>
      </w:r>
    </w:p>
    <w:p>
      <w:pPr>
        <w:pStyle w:val="ListParagraph"/>
        <w:numPr>
          <w:ilvl w:val="0"/>
          <w:numId w:val="2"/>
        </w:numPr>
        <w:spacing w:after="80"/>
      </w:pPr>
      <w:r>
        <w:rPr>
          <w:rFonts w:ascii="Arial" w:cs="Arial" w:eastAsia="Arial" w:hAnsi="Arial"/>
          <w:b/>
          <w:bCs/>
          <w:sz w:val="22"/>
          <w:szCs w:val="22"/>
        </w:rPr>
        <w:t xml:space="preserve">The "no increase" statement: </w:t>
      </w:r>
      <w:r>
        <w:rPr>
          <w:rFonts w:ascii="Arial" w:cs="Arial" w:eastAsia="Arial" w:hAnsi="Arial"/>
          <w:sz w:val="22"/>
          <w:szCs w:val="22"/>
        </w:rPr>
        <w:t xml:space="preserve">Abhi Chopra told council on February 10, 2026 there was no increase in the premium. The FY2025 actual of $41,772 vs. the $40,000 budget suggests modest increases have been occurring. Whether the FY2026 renewal truly held flat needs verification against the actual HUB invoice.</w:t>
      </w:r>
    </w:p>
    <w:p>
      <w:pPr>
        <w:pStyle w:val="ListParagraph"/>
        <w:numPr>
          <w:ilvl w:val="0"/>
          <w:numId w:val="2"/>
        </w:numPr>
        <w:spacing w:after="80"/>
      </w:pPr>
      <w:r>
        <w:rPr>
          <w:rFonts w:ascii="Arial" w:cs="Arial" w:eastAsia="Arial" w:hAnsi="Arial"/>
          <w:b/>
          <w:bCs/>
          <w:sz w:val="22"/>
          <w:szCs w:val="22"/>
        </w:rPr>
        <w:t xml:space="preserve">Monthly insurance expense: $3,257/month </w:t>
      </w:r>
      <w:r>
        <w:rPr>
          <w:rFonts w:ascii="Arial" w:cs="Arial" w:eastAsia="Arial" w:hAnsi="Arial"/>
          <w:sz w:val="22"/>
          <w:szCs w:val="22"/>
        </w:rPr>
        <w:t xml:space="preserve">($41,772 / 12 = $3,481 amortized, but monthly P&amp;L shows $3,257 due to the timing of the policy year vs. fiscal year). This is the single largest monthly operating cost.</w:t>
      </w:r>
    </w:p>
    <w:p>
      <w:pPr>
        <w:pStyle w:val="Heading1"/>
        <w:spacing w:after="200" w:before="360"/>
      </w:pPr>
      <w:r>
        <w:rPr>
          <w:rFonts w:ascii="Arial" w:cs="Arial" w:eastAsia="Arial" w:hAnsi="Arial"/>
          <w:b/>
          <w:bCs/>
          <w:color w:val="1F4E79"/>
          <w:sz w:val="32"/>
          <w:szCs w:val="32"/>
        </w:rPr>
        <w:t xml:space="preserve">8. Cross-Reference: Prior Research vs. Financial Data</w:t>
      </w:r>
    </w:p>
    <w:p>
      <w:pPr>
        <w:spacing w:after="120"/>
      </w:pPr>
      <w:r>
        <w:rPr>
          <w:rFonts w:ascii="Arial" w:cs="Arial" w:eastAsia="Arial" w:hAnsi="Arial"/>
          <w:sz w:val="22"/>
          <w:szCs w:val="22"/>
        </w:rPr>
        <w:t xml:space="preserve">The following table reconciles concerns raised in prior research with what the actual financial statements show:</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Prior Concern</w:t>
            </w:r>
          </w:p>
        </w:tc>
        <w:tc>
          <w:tcPr>
            <w:tcW w:type="dxa" w:w="3120"/>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Financial Data Finding</w:t>
            </w:r>
          </w:p>
        </w:tc>
        <w:tc>
          <w:tcPr>
            <w:tcW w:type="dxa" w:w="3120"/>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Status</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$12K CRF loan repaid by year-end?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Yes - repaid by Sep 2025</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COMPLIANT</w:t>
            </w:r>
          </w:p>
        </w:tc>
      </w:tr>
      <w:tr>
        <w:tc>
          <w:tcPr>
            <w:tcW w:type="dxa" w:w="312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CRF balance declining?</w:t>
            </w:r>
          </w:p>
        </w:tc>
        <w:tc>
          <w:tcPr>
            <w:tcW w:type="dxa" w:w="312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No - grew $276K to $288K</w:t>
            </w:r>
          </w:p>
        </w:tc>
        <w:tc>
          <w:tcPr>
            <w:tcW w:type="dxa" w:w="312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HEALTHY</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Insurance &gt;40% of opex?</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16.4% of opex</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NORMAL</w:t>
            </w:r>
          </w:p>
        </w:tc>
      </w:tr>
      <w:tr>
        <w:tc>
          <w:tcPr>
            <w:tcW w:type="dxa" w:w="312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CRF contribution meets 10%?</w:t>
            </w:r>
          </w:p>
        </w:tc>
        <w:tc>
          <w:tcPr>
            <w:tcW w:type="dxa" w:w="312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9.4% - below minimum</w:t>
            </w:r>
          </w:p>
        </w:tc>
        <w:tc>
          <w:tcPr>
            <w:tcW w:type="dxa" w:w="312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NON-COMPLIANT</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AR delinquencies with liens?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Unit 411 chronic; liens filed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MONITORED</w:t>
            </w:r>
          </w:p>
        </w:tc>
      </w:tr>
      <w:tr>
        <w:tc>
          <w:tcPr>
            <w:tcW w:type="dxa" w:w="312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Depreciation report current?</w:t>
            </w:r>
          </w:p>
        </w:tc>
        <w:tc>
          <w:tcPr>
            <w:tcW w:type="dxa" w:w="312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Approved Jan 2026</w:t>
            </w:r>
          </w:p>
        </w:tc>
        <w:tc>
          <w:tcPr>
            <w:tcW w:type="dxa" w:w="312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CURRENT - but reveals $1.96M deficiency</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Recurring CRF loans?</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FY2025 + FY2026 confirmed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CONCERN</w:t>
            </w:r>
          </w:p>
        </w:tc>
      </w:tr>
      <w:tr>
        <w:tc>
          <w:tcPr>
            <w:tcW w:type="dxa" w:w="312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Budget vs actual &gt;10% variance?</w:t>
            </w:r>
          </w:p>
        </w:tc>
        <w:tc>
          <w:tcPr>
            <w:tcW w:type="dxa" w:w="312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Fire/Consulting 100%+ over</w:t>
            </w:r>
          </w:p>
        </w:tc>
        <w:tc>
          <w:tcPr>
            <w:tcW w:type="dxa" w:w="312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FLAGGED</w:t>
            </w:r>
          </w:p>
        </w:tc>
      </w:tr>
      <w:tr>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bCs/>
                <w:color w:val="000000"/>
                <w:sz w:val="18"/>
                <w:szCs w:val="18"/>
              </w:rPr>
              <w:t xml:space="preserve">NLD Consulting fees explained?</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bCs/>
                <w:color w:val="000000"/>
                <w:sz w:val="18"/>
                <w:szCs w:val="18"/>
              </w:rPr>
              <w:t xml:space="preserve">Yes - depreciation report</w:t>
            </w:r>
          </w:p>
        </w:tc>
        <w:tc>
          <w:tcPr>
            <w:tcW w:type="dxa" w:w="312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bCs/>
                <w:color w:val="000000"/>
                <w:sz w:val="18"/>
                <w:szCs w:val="18"/>
              </w:rPr>
              <w:t xml:space="preserve">RESOLVED</w:t>
            </w:r>
          </w:p>
        </w:tc>
      </w:tr>
    </w:tbl>
    <w:p>
      <w:r>
        <w:br w:type="page"/>
      </w:r>
    </w:p>
    <w:p>
      <w:pPr>
        <w:pStyle w:val="Heading1"/>
        <w:spacing w:after="200" w:before="360"/>
      </w:pPr>
      <w:r>
        <w:rPr>
          <w:rFonts w:ascii="Arial" w:cs="Arial" w:eastAsia="Arial" w:hAnsi="Arial"/>
          <w:b/>
          <w:bCs/>
          <w:color w:val="1F4E79"/>
          <w:sz w:val="32"/>
          <w:szCs w:val="32"/>
        </w:rPr>
        <w:t xml:space="preserve">9. Recommendations</w:t>
      </w:r>
    </w:p>
    <w:p>
      <w:pPr>
        <w:pStyle w:val="Heading2"/>
        <w:spacing w:after="120" w:before="240"/>
      </w:pPr>
      <w:r>
        <w:rPr>
          <w:rFonts w:ascii="Arial" w:cs="Arial" w:eastAsia="Arial" w:hAnsi="Arial"/>
          <w:b/>
          <w:bCs/>
          <w:color w:val="2E75B6"/>
          <w:sz w:val="26"/>
          <w:szCs w:val="26"/>
        </w:rPr>
        <w:t xml:space="preserve">Immediate Action Items for the March 5 AGM</w:t>
      </w:r>
    </w:p>
    <w:p>
      <w:pPr>
        <w:pStyle w:val="ListParagraph"/>
        <w:numPr>
          <w:ilvl w:val="0"/>
          <w:numId w:val="2"/>
        </w:numPr>
        <w:spacing w:after="80"/>
      </w:pPr>
      <w:r>
        <w:rPr>
          <w:rFonts w:ascii="Arial" w:cs="Arial" w:eastAsia="Arial" w:hAnsi="Arial"/>
          <w:b/>
          <w:bCs/>
          <w:sz w:val="22"/>
          <w:szCs w:val="22"/>
        </w:rPr>
        <w:t xml:space="preserve">Request the strata formally adopt the depreciation report's recommended funding plan </w:t>
      </w:r>
      <w:r>
        <w:rPr>
          <w:rFonts w:ascii="Arial" w:cs="Arial" w:eastAsia="Arial" w:hAnsi="Arial"/>
          <w:sz w:val="22"/>
          <w:szCs w:val="22"/>
        </w:rPr>
        <w:t xml:space="preserve">of $27,183 for FY2026, as recommended by NLD Consulting.</w:t>
      </w:r>
    </w:p>
    <w:p>
      <w:pPr>
        <w:pStyle w:val="ListParagraph"/>
        <w:numPr>
          <w:ilvl w:val="0"/>
          <w:numId w:val="2"/>
        </w:numPr>
        <w:spacing w:after="80"/>
      </w:pPr>
      <w:r>
        <w:rPr>
          <w:rFonts w:ascii="Arial" w:cs="Arial" w:eastAsia="Arial" w:hAnsi="Arial"/>
          <w:b/>
          <w:bCs/>
          <w:sz w:val="22"/>
          <w:szCs w:val="22"/>
        </w:rPr>
        <w:t xml:space="preserve">Begin planning for the 2027 special levy of approximately $154,400 </w:t>
      </w:r>
      <w:r>
        <w:rPr>
          <w:rFonts w:ascii="Arial" w:cs="Arial" w:eastAsia="Arial" w:hAnsi="Arial"/>
          <w:sz w:val="22"/>
          <w:szCs w:val="22"/>
        </w:rPr>
        <w:t xml:space="preserve">(~$2,859 per unit). Council should communicate this timeline to all owners as early as possible.</w:t>
      </w:r>
    </w:p>
    <w:p>
      <w:pPr>
        <w:pStyle w:val="ListParagraph"/>
        <w:numPr>
          <w:ilvl w:val="0"/>
          <w:numId w:val="2"/>
        </w:numPr>
        <w:spacing w:after="80"/>
      </w:pPr>
      <w:r>
        <w:rPr>
          <w:rFonts w:ascii="Arial" w:cs="Arial" w:eastAsia="Arial" w:hAnsi="Arial"/>
          <w:b/>
          <w:bCs/>
          <w:sz w:val="22"/>
          <w:szCs w:val="22"/>
        </w:rPr>
        <w:t xml:space="preserve">Demand the CRF contribution rate be increased to at least 10% </w:t>
      </w:r>
      <w:r>
        <w:rPr>
          <w:rFonts w:ascii="Arial" w:cs="Arial" w:eastAsia="Arial" w:hAnsi="Arial"/>
          <w:sz w:val="22"/>
          <w:szCs w:val="22"/>
        </w:rPr>
        <w:t xml:space="preserve">($26,322 minimum) in the FY2026 budget. The current 9.4% rate is non-compliant with BC regulations.</w:t>
      </w:r>
    </w:p>
    <w:p>
      <w:pPr>
        <w:pStyle w:val="ListParagraph"/>
        <w:numPr>
          <w:ilvl w:val="0"/>
          <w:numId w:val="2"/>
        </w:numPr>
        <w:spacing w:after="80"/>
      </w:pPr>
      <w:r>
        <w:rPr>
          <w:rFonts w:ascii="Arial" w:cs="Arial" w:eastAsia="Arial" w:hAnsi="Arial"/>
          <w:b/>
          <w:bCs/>
          <w:sz w:val="22"/>
          <w:szCs w:val="22"/>
        </w:rPr>
        <w:t xml:space="preserve">Request a specific repayment date </w:t>
      </w:r>
      <w:r>
        <w:rPr>
          <w:rFonts w:ascii="Arial" w:cs="Arial" w:eastAsia="Arial" w:hAnsi="Arial"/>
          <w:sz w:val="22"/>
          <w:szCs w:val="22"/>
        </w:rPr>
        <w:t xml:space="preserve">for the February 2026 $12,000 CRF transfer and ask why this pattern is recurring despite claims of no insurance increase.</w:t>
      </w:r>
    </w:p>
    <w:p>
      <w:pPr>
        <w:pStyle w:val="ListParagraph"/>
        <w:numPr>
          <w:ilvl w:val="0"/>
          <w:numId w:val="2"/>
        </w:numPr>
        <w:spacing w:after="80"/>
      </w:pPr>
      <w:r>
        <w:rPr>
          <w:rFonts w:ascii="Arial" w:cs="Arial" w:eastAsia="Arial" w:hAnsi="Arial"/>
          <w:b/>
          <w:bCs/>
          <w:sz w:val="22"/>
          <w:szCs w:val="22"/>
        </w:rPr>
        <w:t xml:space="preserve">Request detailed invoices for fire systems work ($7,382) </w:t>
      </w:r>
      <w:r>
        <w:rPr>
          <w:rFonts w:ascii="Arial" w:cs="Arial" w:eastAsia="Arial" w:hAnsi="Arial"/>
          <w:sz w:val="22"/>
          <w:szCs w:val="22"/>
        </w:rPr>
        <w:t xml:space="preserve">to understand what was done and whether these costs will recur.</w:t>
      </w:r>
    </w:p>
    <w:p>
      <w:pPr>
        <w:pStyle w:val="ListParagraph"/>
        <w:numPr>
          <w:ilvl w:val="0"/>
          <w:numId w:val="2"/>
        </w:numPr>
        <w:spacing w:after="80"/>
      </w:pPr>
      <w:r>
        <w:rPr>
          <w:rFonts w:ascii="Arial" w:cs="Arial" w:eastAsia="Arial" w:hAnsi="Arial"/>
          <w:b/>
          <w:bCs/>
          <w:sz w:val="22"/>
          <w:szCs w:val="22"/>
        </w:rPr>
        <w:t xml:space="preserve">Ask for the Section 98.3 expenditure documentation </w:t>
      </w:r>
      <w:r>
        <w:rPr>
          <w:rFonts w:ascii="Arial" w:cs="Arial" w:eastAsia="Arial" w:hAnsi="Arial"/>
          <w:sz w:val="22"/>
          <w:szCs w:val="22"/>
        </w:rPr>
        <w:t xml:space="preserve">for the $9,585 in emergency CRF expenses and the $10,500 in approved CRF expenses.</w:t>
      </w:r>
    </w:p>
    <w:p>
      <w:pPr>
        <w:pStyle w:val="Heading2"/>
        <w:spacing w:after="120" w:before="240"/>
      </w:pPr>
      <w:r>
        <w:rPr>
          <w:rFonts w:ascii="Arial" w:cs="Arial" w:eastAsia="Arial" w:hAnsi="Arial"/>
          <w:b/>
          <w:bCs/>
          <w:color w:val="2E75B6"/>
          <w:sz w:val="26"/>
          <w:szCs w:val="26"/>
        </w:rPr>
        <w:t xml:space="preserve">Budget Recommendations for FY2026</w:t>
      </w:r>
    </w:p>
    <w:p>
      <w:pPr>
        <w:pStyle w:val="ListParagraph"/>
        <w:numPr>
          <w:ilvl w:val="0"/>
          <w:numId w:val="2"/>
        </w:numPr>
        <w:spacing w:after="80"/>
      </w:pPr>
      <w:r>
        <w:rPr>
          <w:rFonts w:ascii="Arial" w:cs="Arial" w:eastAsia="Arial" w:hAnsi="Arial"/>
          <w:b/>
          <w:bCs/>
          <w:sz w:val="22"/>
          <w:szCs w:val="22"/>
        </w:rPr>
        <w:t xml:space="preserve">Increase CRF contribution to $27,183 </w:t>
      </w:r>
      <w:r>
        <w:rPr>
          <w:rFonts w:ascii="Arial" w:cs="Arial" w:eastAsia="Arial" w:hAnsi="Arial"/>
          <w:sz w:val="22"/>
          <w:szCs w:val="22"/>
        </w:rPr>
        <w:t xml:space="preserve">as recommended by NLD Consulting's depreciation report (representing 10.3% of the operating budget).</w:t>
      </w:r>
    </w:p>
    <w:p>
      <w:pPr>
        <w:pStyle w:val="ListParagraph"/>
        <w:numPr>
          <w:ilvl w:val="0"/>
          <w:numId w:val="2"/>
        </w:numPr>
        <w:spacing w:after="80"/>
      </w:pPr>
      <w:r>
        <w:rPr>
          <w:rFonts w:ascii="Arial" w:cs="Arial" w:eastAsia="Arial" w:hAnsi="Arial"/>
          <w:b/>
          <w:bCs/>
          <w:sz w:val="22"/>
          <w:szCs w:val="22"/>
        </w:rPr>
        <w:t xml:space="preserve">Budget $1,600/year for depreciation report </w:t>
      </w:r>
      <w:r>
        <w:rPr>
          <w:rFonts w:ascii="Arial" w:cs="Arial" w:eastAsia="Arial" w:hAnsi="Arial"/>
          <w:sz w:val="22"/>
          <w:szCs w:val="22"/>
        </w:rPr>
        <w:t xml:space="preserve">(=$7,875 amortized over the 5-year cycle) to avoid future budget overruns. The $8,054 NLD expense should not have been a surprise.</w:t>
      </w:r>
    </w:p>
    <w:p>
      <w:pPr>
        <w:pStyle w:val="ListParagraph"/>
        <w:numPr>
          <w:ilvl w:val="0"/>
          <w:numId w:val="2"/>
        </w:numPr>
        <w:spacing w:after="80"/>
      </w:pPr>
      <w:r>
        <w:rPr>
          <w:rFonts w:ascii="Arial" w:cs="Arial" w:eastAsia="Arial" w:hAnsi="Arial"/>
          <w:b/>
          <w:bCs/>
          <w:sz w:val="22"/>
          <w:szCs w:val="22"/>
        </w:rPr>
        <w:t xml:space="preserve">Increase fire systems budget </w:t>
      </w:r>
      <w:r>
        <w:rPr>
          <w:rFonts w:ascii="Arial" w:cs="Arial" w:eastAsia="Arial" w:hAnsi="Arial"/>
          <w:sz w:val="22"/>
          <w:szCs w:val="22"/>
        </w:rPr>
        <w:t xml:space="preserve">from $3,500 to $6,000-$7,000 based on two years of actual experience.</w:t>
      </w:r>
    </w:p>
    <w:p>
      <w:pPr>
        <w:pStyle w:val="ListParagraph"/>
        <w:numPr>
          <w:ilvl w:val="0"/>
          <w:numId w:val="2"/>
        </w:numPr>
        <w:spacing w:after="80"/>
      </w:pPr>
      <w:r>
        <w:rPr>
          <w:rFonts w:ascii="Arial" w:cs="Arial" w:eastAsia="Arial" w:hAnsi="Arial"/>
          <w:b/>
          <w:bCs/>
          <w:sz w:val="22"/>
          <w:szCs w:val="22"/>
        </w:rPr>
        <w:t xml:space="preserve">Increase insurance budget to $42,000-$43,000 </w:t>
      </w:r>
      <w:r>
        <w:rPr>
          <w:rFonts w:ascii="Arial" w:cs="Arial" w:eastAsia="Arial" w:hAnsi="Arial"/>
          <w:sz w:val="22"/>
          <w:szCs w:val="22"/>
        </w:rPr>
        <w:t xml:space="preserve">to reflect actual costs and continued premium volatility.</w:t>
      </w:r>
    </w:p>
    <w:p>
      <w:pPr>
        <w:pStyle w:val="ListParagraph"/>
        <w:numPr>
          <w:ilvl w:val="0"/>
          <w:numId w:val="2"/>
        </w:numPr>
        <w:spacing w:after="80"/>
      </w:pPr>
      <w:r>
        <w:rPr>
          <w:rFonts w:ascii="Arial" w:cs="Arial" w:eastAsia="Arial" w:hAnsi="Arial"/>
          <w:b/>
          <w:bCs/>
          <w:sz w:val="22"/>
          <w:szCs w:val="22"/>
        </w:rPr>
        <w:t xml:space="preserve">Increase water &amp; sewer budget to $28,000 </w:t>
      </w:r>
      <w:r>
        <w:rPr>
          <w:rFonts w:ascii="Arial" w:cs="Arial" w:eastAsia="Arial" w:hAnsi="Arial"/>
          <w:sz w:val="22"/>
          <w:szCs w:val="22"/>
        </w:rPr>
        <w:t xml:space="preserve">from $25,000 based on the $27,236 actual.</w:t>
      </w:r>
    </w:p>
    <w:p>
      <w:pPr>
        <w:pStyle w:val="ListParagraph"/>
        <w:numPr>
          <w:ilvl w:val="0"/>
          <w:numId w:val="2"/>
        </w:numPr>
        <w:spacing w:after="80"/>
      </w:pPr>
      <w:r>
        <w:rPr>
          <w:rFonts w:ascii="Arial" w:cs="Arial" w:eastAsia="Arial" w:hAnsi="Arial"/>
          <w:b/>
          <w:bCs/>
          <w:sz w:val="22"/>
          <w:szCs w:val="22"/>
        </w:rPr>
        <w:t xml:space="preserve">Build operating cash reserves </w:t>
      </w:r>
      <w:r>
        <w:rPr>
          <w:rFonts w:ascii="Arial" w:cs="Arial" w:eastAsia="Arial" w:hAnsi="Arial"/>
          <w:sz w:val="22"/>
          <w:szCs w:val="22"/>
        </w:rPr>
        <w:t xml:space="preserve">to eliminate the need for annual CRF borrowing. Consider collecting 1-2 months of strata fees in advance or establishing an insurance reserve line item.</w:t>
      </w:r>
    </w:p>
    <w:p>
      <w:pPr>
        <w:pStyle w:val="Heading2"/>
        <w:spacing w:after="120" w:before="240"/>
      </w:pPr>
      <w:r>
        <w:rPr>
          <w:rFonts w:ascii="Arial" w:cs="Arial" w:eastAsia="Arial" w:hAnsi="Arial"/>
          <w:b/>
          <w:bCs/>
          <w:color w:val="2E75B6"/>
          <w:sz w:val="26"/>
          <w:szCs w:val="26"/>
        </w:rPr>
        <w:t xml:space="preserve">Governance Recommendations</w:t>
      </w:r>
    </w:p>
    <w:p>
      <w:pPr>
        <w:pStyle w:val="ListParagraph"/>
        <w:numPr>
          <w:ilvl w:val="0"/>
          <w:numId w:val="2"/>
        </w:numPr>
        <w:spacing w:after="80"/>
      </w:pPr>
      <w:r>
        <w:rPr>
          <w:rFonts w:ascii="Arial" w:cs="Arial" w:eastAsia="Arial" w:hAnsi="Arial"/>
          <w:b/>
          <w:bCs/>
          <w:sz w:val="22"/>
          <w:szCs w:val="22"/>
        </w:rPr>
        <w:t xml:space="preserve">Require all financial proposals be shared with full council simultaneously. </w:t>
      </w:r>
      <w:r>
        <w:rPr>
          <w:rFonts w:ascii="Arial" w:cs="Arial" w:eastAsia="Arial" w:hAnsi="Arial"/>
          <w:sz w:val="22"/>
          <w:szCs w:val="22"/>
        </w:rPr>
        <w:t xml:space="preserve">The pattern of Abhi briefing council president Shirley Lunan privately before other council members creates an information asymmetry that undermines proper governance.</w:t>
      </w:r>
    </w:p>
    <w:p>
      <w:pPr>
        <w:pStyle w:val="ListParagraph"/>
        <w:numPr>
          <w:ilvl w:val="0"/>
          <w:numId w:val="2"/>
        </w:numPr>
        <w:spacing w:after="80"/>
      </w:pPr>
      <w:r>
        <w:rPr>
          <w:rFonts w:ascii="Arial" w:cs="Arial" w:eastAsia="Arial" w:hAnsi="Arial"/>
          <w:b/>
          <w:bCs/>
          <w:sz w:val="22"/>
          <w:szCs w:val="22"/>
        </w:rPr>
        <w:t xml:space="preserve">Require prior council approval for CRF transfers, </w:t>
      </w:r>
      <w:r>
        <w:rPr>
          <w:rFonts w:ascii="Arial" w:cs="Arial" w:eastAsia="Arial" w:hAnsi="Arial"/>
          <w:sz w:val="22"/>
          <w:szCs w:val="22"/>
        </w:rPr>
        <w:t xml:space="preserve">not after-the-fact notification. While the SPA permits temporary loans with council majority vote, best practice requires approval before execution.</w:t>
      </w:r>
    </w:p>
    <w:p>
      <w:pPr>
        <w:pStyle w:val="ListParagraph"/>
        <w:numPr>
          <w:ilvl w:val="0"/>
          <w:numId w:val="2"/>
        </w:numPr>
        <w:spacing w:after="80"/>
      </w:pPr>
      <w:r>
        <w:rPr>
          <w:rFonts w:ascii="Arial" w:cs="Arial" w:eastAsia="Arial" w:hAnsi="Arial"/>
          <w:b/>
          <w:bCs/>
          <w:sz w:val="22"/>
          <w:szCs w:val="22"/>
        </w:rPr>
        <w:t xml:space="preserve">Request full parkade project cost transparency </w:t>
      </w:r>
      <w:r>
        <w:rPr>
          <w:rFonts w:ascii="Arial" w:cs="Arial" w:eastAsia="Arial" w:hAnsi="Arial"/>
          <w:sz w:val="22"/>
          <w:szCs w:val="22"/>
        </w:rPr>
        <w:t xml:space="preserve">before any SGM vote. The $280K quote that excluded PM consultant fees cannot be repeated at the owner approval stage. Both One Percent and Elite proposals should be fully loaded with all costs.</w:t>
      </w:r>
    </w:p>
    <w:p>
      <w:pPr>
        <w:pStyle w:val="ListParagraph"/>
        <w:numPr>
          <w:ilvl w:val="0"/>
          <w:numId w:val="2"/>
        </w:numPr>
        <w:spacing w:after="80"/>
      </w:pPr>
      <w:r>
        <w:rPr>
          <w:rFonts w:ascii="Arial" w:cs="Arial" w:eastAsia="Arial" w:hAnsi="Arial"/>
          <w:b/>
          <w:bCs/>
          <w:sz w:val="22"/>
          <w:szCs w:val="22"/>
        </w:rPr>
        <w:t xml:space="preserve">Review CML's third-party payment disclosures </w:t>
      </w:r>
      <w:r>
        <w:rPr>
          <w:rFonts w:ascii="Arial" w:cs="Arial" w:eastAsia="Arial" w:hAnsi="Arial"/>
          <w:sz w:val="22"/>
          <w:szCs w:val="22"/>
        </w:rPr>
        <w:t xml:space="preserve">from the January 2026 disclosure notice. Understand the dollar amounts CML receives from vendors serving KAS1911.</w:t>
      </w:r>
    </w:p>
    <w:p>
      <w:r>
        <w:br w:type="page"/>
      </w:r>
    </w:p>
    <w:p>
      <w:pPr>
        <w:pStyle w:val="Heading1"/>
        <w:spacing w:after="200" w:before="360"/>
      </w:pPr>
      <w:r>
        <w:rPr>
          <w:rFonts w:ascii="Arial" w:cs="Arial" w:eastAsia="Arial" w:hAnsi="Arial"/>
          <w:b/>
          <w:bCs/>
          <w:color w:val="1F4E79"/>
          <w:sz w:val="32"/>
          <w:szCs w:val="32"/>
        </w:rPr>
        <w:t xml:space="preserve">10. Depreciation Report Analysis (NLD Consulting, January 2026)</w:t>
      </w:r>
    </w:p>
    <w:p>
      <w:pPr>
        <w:pStyle w:val="Heading2"/>
        <w:spacing w:after="120" w:before="240"/>
      </w:pPr>
      <w:r>
        <w:rPr>
          <w:rFonts w:ascii="Arial" w:cs="Arial" w:eastAsia="Arial" w:hAnsi="Arial"/>
          <w:b/>
          <w:bCs/>
          <w:color w:val="2E75B6"/>
          <w:sz w:val="26"/>
          <w:szCs w:val="26"/>
        </w:rPr>
        <w:t xml:space="preserve">a) Report Overview</w:t>
      </w:r>
    </w:p>
    <w:p>
      <w:pPr>
        <w:pStyle w:val="ListParagraph"/>
        <w:numPr>
          <w:ilvl w:val="0"/>
          <w:numId w:val="2"/>
        </w:numPr>
        <w:spacing w:after="80"/>
      </w:pPr>
      <w:r>
        <w:rPr>
          <w:rFonts w:ascii="Arial" w:cs="Arial" w:eastAsia="Arial" w:hAnsi="Arial"/>
          <w:b/>
          <w:bCs/>
          <w:sz w:val="22"/>
          <w:szCs w:val="22"/>
        </w:rPr>
        <w:t xml:space="preserve">Prepared by: </w:t>
      </w:r>
      <w:r>
        <w:rPr>
          <w:rFonts w:ascii="Arial" w:cs="Arial" w:eastAsia="Arial" w:hAnsi="Arial"/>
          <w:sz w:val="22"/>
          <w:szCs w:val="22"/>
        </w:rPr>
        <w:t xml:space="preserve">Terry Dowle, CRP, P.App., AACI, RI, PRA (AIC#300781) of NLD Consulting / Clarity Reserve Solutions Ltd</w:t>
      </w:r>
    </w:p>
    <w:p>
      <w:pPr>
        <w:pStyle w:val="ListParagraph"/>
        <w:numPr>
          <w:ilvl w:val="0"/>
          <w:numId w:val="2"/>
        </w:numPr>
        <w:spacing w:after="80"/>
      </w:pPr>
      <w:r>
        <w:rPr>
          <w:rFonts w:ascii="Arial" w:cs="Arial" w:eastAsia="Arial" w:hAnsi="Arial"/>
          <w:b/>
          <w:bCs/>
          <w:sz w:val="22"/>
          <w:szCs w:val="22"/>
        </w:rPr>
        <w:t xml:space="preserve">Document: </w:t>
      </w:r>
      <w:r>
        <w:rPr>
          <w:rFonts w:ascii="Arial" w:cs="Arial" w:eastAsia="Arial" w:hAnsi="Arial"/>
          <w:sz w:val="22"/>
          <w:szCs w:val="22"/>
        </w:rPr>
        <w:t xml:space="preserve">167-page report, File C-6376, dated January 30, 2026</w:t>
      </w:r>
    </w:p>
    <w:p>
      <w:pPr>
        <w:pStyle w:val="ListParagraph"/>
        <w:numPr>
          <w:ilvl w:val="0"/>
          <w:numId w:val="2"/>
        </w:numPr>
        <w:spacing w:after="80"/>
      </w:pPr>
      <w:r>
        <w:rPr>
          <w:rFonts w:ascii="Arial" w:cs="Arial" w:eastAsia="Arial" w:hAnsi="Arial"/>
          <w:b/>
          <w:bCs/>
          <w:sz w:val="22"/>
          <w:szCs w:val="22"/>
        </w:rPr>
        <w:t xml:space="preserve">Inspection Date: </w:t>
      </w:r>
      <w:r>
        <w:rPr>
          <w:rFonts w:ascii="Arial" w:cs="Arial" w:eastAsia="Arial" w:hAnsi="Arial"/>
          <w:sz w:val="22"/>
          <w:szCs w:val="22"/>
        </w:rPr>
        <w:t xml:space="preserve">August 8, 2025</w:t>
      </w:r>
    </w:p>
    <w:p>
      <w:pPr>
        <w:pStyle w:val="ListParagraph"/>
        <w:numPr>
          <w:ilvl w:val="0"/>
          <w:numId w:val="2"/>
        </w:numPr>
        <w:spacing w:after="80"/>
      </w:pPr>
      <w:r>
        <w:rPr>
          <w:rFonts w:ascii="Arial" w:cs="Arial" w:eastAsia="Arial" w:hAnsi="Arial"/>
          <w:b/>
          <w:bCs/>
          <w:sz w:val="22"/>
          <w:szCs w:val="22"/>
        </w:rPr>
        <w:t xml:space="preserve">Scope: </w:t>
      </w:r>
      <w:r>
        <w:rPr>
          <w:rFonts w:ascii="Arial" w:cs="Arial" w:eastAsia="Arial" w:hAnsi="Arial"/>
          <w:sz w:val="22"/>
          <w:szCs w:val="22"/>
        </w:rPr>
        <w:t xml:space="preserve">57 building components across structural, finishes, mechanical, electrical, amenities, and site improvements</w:t>
      </w:r>
    </w:p>
    <w:p>
      <w:pPr>
        <w:pStyle w:val="ListParagraph"/>
        <w:numPr>
          <w:ilvl w:val="0"/>
          <w:numId w:val="2"/>
        </w:numPr>
        <w:spacing w:after="80"/>
      </w:pPr>
      <w:r>
        <w:rPr>
          <w:rFonts w:ascii="Arial" w:cs="Arial" w:eastAsia="Arial" w:hAnsi="Arial"/>
          <w:b/>
          <w:bCs/>
          <w:sz w:val="22"/>
          <w:szCs w:val="22"/>
        </w:rPr>
        <w:t xml:space="preserve">Prior Reports: </w:t>
      </w:r>
      <w:r>
        <w:rPr>
          <w:rFonts w:ascii="Arial" w:cs="Arial" w:eastAsia="Arial" w:hAnsi="Arial"/>
          <w:sz w:val="22"/>
          <w:szCs w:val="22"/>
        </w:rPr>
        <w:t xml:space="preserve">July 2014 and December 2017 by Reserve Data Analysis</w:t>
      </w:r>
    </w:p>
    <w:p>
      <w:pPr>
        <w:pStyle w:val="ListParagraph"/>
        <w:numPr>
          <w:ilvl w:val="0"/>
          <w:numId w:val="2"/>
        </w:numPr>
        <w:spacing w:after="80"/>
      </w:pPr>
      <w:r>
        <w:rPr>
          <w:rFonts w:ascii="Arial" w:cs="Arial" w:eastAsia="Arial" w:hAnsi="Arial"/>
          <w:b/>
          <w:bCs/>
          <w:sz w:val="22"/>
          <w:szCs w:val="22"/>
        </w:rPr>
        <w:t xml:space="preserve">Economic Assumptions: </w:t>
      </w:r>
      <w:r>
        <w:rPr>
          <w:rFonts w:ascii="Arial" w:cs="Arial" w:eastAsia="Arial" w:hAnsi="Arial"/>
          <w:sz w:val="22"/>
          <w:szCs w:val="22"/>
        </w:rPr>
        <w:t xml:space="preserve">3.6% construction inflation, 3.1% interest rate, 1.9% CPI inflation</w:t>
      </w:r>
    </w:p>
    <w:p>
      <w:pPr>
        <w:pStyle w:val="Heading2"/>
        <w:spacing w:after="120" w:before="240"/>
      </w:pPr>
      <w:r>
        <w:rPr>
          <w:rFonts w:ascii="Arial" w:cs="Arial" w:eastAsia="Arial" w:hAnsi="Arial"/>
          <w:b/>
          <w:bCs/>
          <w:color w:val="2E75B6"/>
          <w:sz w:val="26"/>
          <w:szCs w:val="26"/>
        </w:rPr>
        <w:t xml:space="preserve">b) CRF Deficiency - The Real Story</w:t>
      </w:r>
    </w:p>
    <w:p>
      <w:pPr>
        <w:spacing w:after="120"/>
      </w:pPr>
      <w:r>
        <w:rPr>
          <w:rFonts w:ascii="Arial" w:cs="Arial" w:eastAsia="Arial" w:hAnsi="Arial"/>
          <w:sz w:val="22"/>
          <w:szCs w:val="22"/>
        </w:rPr>
        <w:t xml:space="preserve">This is the most significant finding. The depreciation report reveals that our financial statement analysis, which appeared healthy, actually masks a critical long-term capital funding crisis:</w:t>
      </w:r>
    </w:p>
    <w:p>
      <w:pPr>
        <w:pStyle w:val="ListParagraph"/>
        <w:numPr>
          <w:ilvl w:val="0"/>
          <w:numId w:val="2"/>
        </w:numPr>
        <w:spacing w:after="80"/>
      </w:pPr>
      <w:r>
        <w:rPr>
          <w:rFonts w:ascii="Arial" w:cs="Arial" w:eastAsia="Arial" w:hAnsi="Arial"/>
          <w:b/>
          <w:bCs/>
          <w:sz w:val="22"/>
          <w:szCs w:val="22"/>
        </w:rPr>
        <w:t xml:space="preserve">Current CRF balance (Jan 2025): </w:t>
      </w:r>
      <w:r>
        <w:rPr>
          <w:rFonts w:ascii="Arial" w:cs="Arial" w:eastAsia="Arial" w:hAnsi="Arial"/>
          <w:sz w:val="22"/>
          <w:szCs w:val="22"/>
        </w:rPr>
        <w:t xml:space="preserve">$276,097</w:t>
      </w:r>
    </w:p>
    <w:p>
      <w:pPr>
        <w:pStyle w:val="ListParagraph"/>
        <w:numPr>
          <w:ilvl w:val="0"/>
          <w:numId w:val="2"/>
        </w:numPr>
        <w:spacing w:after="80"/>
      </w:pPr>
      <w:r>
        <w:rPr>
          <w:rFonts w:ascii="Arial" w:cs="Arial" w:eastAsia="Arial" w:hAnsi="Arial"/>
          <w:b/>
          <w:bCs/>
          <w:sz w:val="22"/>
          <w:szCs w:val="22"/>
        </w:rPr>
        <w:t xml:space="preserve">Ideal CRF balance: </w:t>
      </w:r>
      <w:r>
        <w:rPr>
          <w:rFonts w:ascii="Arial" w:cs="Arial" w:eastAsia="Arial" w:hAnsi="Arial"/>
          <w:sz w:val="22"/>
          <w:szCs w:val="22"/>
        </w:rPr>
        <w:t xml:space="preserve">$2,236,525</w:t>
      </w:r>
    </w:p>
    <w:p>
      <w:pPr>
        <w:pStyle w:val="ListParagraph"/>
        <w:numPr>
          <w:ilvl w:val="0"/>
          <w:numId w:val="2"/>
        </w:numPr>
        <w:spacing w:after="80"/>
      </w:pPr>
      <w:r>
        <w:rPr>
          <w:rFonts w:ascii="Arial" w:cs="Arial" w:eastAsia="Arial" w:hAnsi="Arial"/>
          <w:b/>
          <w:bCs/>
          <w:sz w:val="22"/>
          <w:szCs w:val="22"/>
        </w:rPr>
        <w:t xml:space="preserve">Reserve fund deficiency: </w:t>
      </w:r>
      <w:r>
        <w:rPr>
          <w:rFonts w:ascii="Arial" w:cs="Arial" w:eastAsia="Arial" w:hAnsi="Arial"/>
          <w:sz w:val="22"/>
          <w:szCs w:val="22"/>
        </w:rPr>
        <w:t xml:space="preserve">$1,955,897 (the building is nearly $2 million underfunded)</w:t>
      </w:r>
    </w:p>
    <w:p>
      <w:pPr>
        <w:pStyle w:val="ListParagraph"/>
        <w:numPr>
          <w:ilvl w:val="0"/>
          <w:numId w:val="2"/>
        </w:numPr>
        <w:spacing w:after="80"/>
      </w:pPr>
      <w:r>
        <w:rPr>
          <w:rFonts w:ascii="Arial" w:cs="Arial" w:eastAsia="Arial" w:hAnsi="Arial"/>
          <w:b/>
          <w:bCs/>
          <w:sz w:val="22"/>
          <w:szCs w:val="22"/>
        </w:rPr>
        <w:t xml:space="preserve">DCQ (Deficiency/Contribution Quotient): </w:t>
      </w:r>
      <w:r>
        <w:rPr>
          <w:rFonts w:ascii="Arial" w:cs="Arial" w:eastAsia="Arial" w:hAnsi="Arial"/>
          <w:sz w:val="22"/>
          <w:szCs w:val="22"/>
        </w:rPr>
        <w:t xml:space="preserve">60.4 (score &gt;40 indicates the strata has NOT prioritized reserve fund contributions)</w:t>
      </w:r>
    </w:p>
    <w:p>
      <w:pPr>
        <w:pStyle w:val="ListParagraph"/>
        <w:numPr>
          <w:ilvl w:val="0"/>
          <w:numId w:val="2"/>
        </w:numPr>
        <w:spacing w:after="80"/>
      </w:pPr>
      <w:r>
        <w:rPr>
          <w:rFonts w:ascii="Arial" w:cs="Arial" w:eastAsia="Arial" w:hAnsi="Arial"/>
          <w:b/>
          <w:bCs/>
          <w:sz w:val="22"/>
          <w:szCs w:val="22"/>
        </w:rPr>
        <w:t xml:space="preserve">Actual vs ideal contributions: </w:t>
      </w:r>
      <w:r>
        <w:rPr>
          <w:rFonts w:ascii="Arial" w:cs="Arial" w:eastAsia="Arial" w:hAnsi="Arial"/>
          <w:sz w:val="22"/>
          <w:szCs w:val="22"/>
        </w:rPr>
        <w:t xml:space="preserve">Only 26% of what should ideally be contributed</w:t>
      </w:r>
    </w:p>
    <w:p>
      <w:pPr>
        <w:pStyle w:val="ListParagraph"/>
        <w:numPr>
          <w:ilvl w:val="0"/>
          <w:numId w:val="2"/>
        </w:numPr>
        <w:spacing w:after="80"/>
      </w:pPr>
      <w:r>
        <w:rPr>
          <w:rFonts w:ascii="Arial" w:cs="Arial" w:eastAsia="Arial" w:hAnsi="Arial"/>
          <w:b/>
          <w:bCs/>
          <w:sz w:val="22"/>
          <w:szCs w:val="22"/>
        </w:rPr>
        <w:t xml:space="preserve">Funding ratio: </w:t>
      </w:r>
      <w:r>
        <w:rPr>
          <w:rFonts w:ascii="Arial" w:cs="Arial" w:eastAsia="Arial" w:hAnsi="Arial"/>
          <w:sz w:val="22"/>
          <w:szCs w:val="22"/>
        </w:rPr>
        <w:t xml:space="preserve">Only 13% funded against ideal closing balance</w:t>
      </w:r>
    </w:p>
    <w:p>
      <w:pPr>
        <w:spacing w:after="120"/>
      </w:pPr>
      <w:r>
        <w:rPr>
          <w:rFonts w:ascii="Arial" w:cs="Arial" w:eastAsia="Arial" w:hAnsi="Arial"/>
          <w:sz w:val="22"/>
          <w:szCs w:val="22"/>
        </w:rPr>
        <w:t xml:space="preserve">The CRF balance of ~$291K that appeared healthy in our financial statement analysis actually represents only 13% of the ideal reserve balance.</w:t>
      </w:r>
    </w:p>
    <w:p>
      <w:pPr>
        <w:pStyle w:val="Heading2"/>
        <w:spacing w:after="120" w:before="240"/>
      </w:pPr>
      <w:r>
        <w:rPr>
          <w:rFonts w:ascii="Arial" w:cs="Arial" w:eastAsia="Arial" w:hAnsi="Arial"/>
          <w:b/>
          <w:bCs/>
          <w:color w:val="2E75B6"/>
          <w:sz w:val="26"/>
          <w:szCs w:val="26"/>
        </w:rPr>
        <w:t xml:space="preserve">c) 30-Year Capital Expenditure Forecast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60"/>
        <w:gridCol w:w="2340"/>
        <w:gridCol w:w="2340"/>
        <w:gridCol w:w="2340"/>
      </w:tblGrid>
      <w:tr>
        <w:tc>
          <w:tcPr>
            <w:tcW w:type="dxa" w:w="1560"/>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Period</w:t>
            </w:r>
          </w:p>
        </w:tc>
        <w:tc>
          <w:tcPr>
            <w:tcW w:type="dxa" w:w="2340"/>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Projected Expenditures</w:t>
            </w:r>
          </w:p>
        </w:tc>
        <w:tc>
          <w:tcPr>
            <w:tcW w:type="dxa" w:w="2340"/>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Special Levies Required</w:t>
            </w:r>
          </w:p>
        </w:tc>
        <w:tc>
          <w:tcPr>
            <w:tcW w:type="dxa" w:w="2340"/>
            <w:tcBorders>
              <w:top w:val="single" w:color="CCCCCC" w:sz="1"/>
              <w:left w:val="single" w:color="CCCCCC" w:sz="1"/>
              <w:bottom w:val="single" w:color="CCCCCC" w:sz="1"/>
              <w:right w:val="single" w:color="CCCCCC" w:sz="1"/>
            </w:tcBorders>
            <w:shd w:fill="1F4E79" w:val="clear"/>
            <w:tcMar>
              <w:top w:type="dxa" w:w="60"/>
              <w:left w:type="dxa" w:w="100"/>
              <w:bottom w:type="dxa" w:w="60"/>
              <w:right w:type="dxa" w:w="100"/>
            </w:tcMar>
            <w:vAlign w:val="center"/>
          </w:tcPr>
          <w:p>
            <w:pPr>
              <w:jc w:val="center"/>
            </w:pPr>
            <w:r>
              <w:rPr>
                <w:rFonts w:ascii="Arial" w:cs="Arial" w:eastAsia="Arial" w:hAnsi="Arial"/>
                <w:b/>
                <w:bCs/>
                <w:color w:val="FFFFFF"/>
                <w:sz w:val="18"/>
                <w:szCs w:val="18"/>
              </w:rPr>
              <w:t xml:space="preserve">Per-Unit Levy</w:t>
            </w:r>
          </w:p>
        </w:tc>
      </w:tr>
      <w:tr>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2025</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$27,900</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$0</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$0</w:t>
            </w:r>
          </w:p>
        </w:tc>
      </w:tr>
      <w:tr>
        <w:tc>
          <w:tcPr>
            <w:tcW w:type="dxa" w:w="156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2026</w:t>
            </w:r>
          </w:p>
        </w:tc>
        <w:tc>
          <w:tcPr>
            <w:tcW w:type="dxa" w:w="234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$2,300</w:t>
            </w:r>
          </w:p>
        </w:tc>
        <w:tc>
          <w:tcPr>
            <w:tcW w:type="dxa" w:w="234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$0</w:t>
            </w:r>
          </w:p>
        </w:tc>
        <w:tc>
          <w:tcPr>
            <w:tcW w:type="dxa" w:w="234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$0</w:t>
            </w:r>
          </w:p>
        </w:tc>
      </w:tr>
      <w:tr>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2027</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$498,400</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$154,400</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~$2,859</w:t>
            </w:r>
          </w:p>
        </w:tc>
      </w:tr>
      <w:tr>
        <w:tc>
          <w:tcPr>
            <w:tcW w:type="dxa" w:w="156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2028</w:t>
            </w:r>
          </w:p>
        </w:tc>
        <w:tc>
          <w:tcPr>
            <w:tcW w:type="dxa" w:w="234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$72,600</w:t>
            </w:r>
          </w:p>
        </w:tc>
        <w:tc>
          <w:tcPr>
            <w:tcW w:type="dxa" w:w="234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$38,200</w:t>
            </w:r>
          </w:p>
        </w:tc>
        <w:tc>
          <w:tcPr>
            <w:tcW w:type="dxa" w:w="234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~$707</w:t>
            </w:r>
          </w:p>
        </w:tc>
      </w:tr>
      <w:tr>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2029</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$4,300</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$0</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$0</w:t>
            </w:r>
          </w:p>
        </w:tc>
      </w:tr>
      <w:tr>
        <w:tc>
          <w:tcPr>
            <w:tcW w:type="dxa" w:w="156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2030</w:t>
            </w:r>
          </w:p>
        </w:tc>
        <w:tc>
          <w:tcPr>
            <w:tcW w:type="dxa" w:w="234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$567,800</w:t>
            </w:r>
          </w:p>
        </w:tc>
        <w:tc>
          <w:tcPr>
            <w:tcW w:type="dxa" w:w="234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$487,100</w:t>
            </w:r>
          </w:p>
        </w:tc>
        <w:tc>
          <w:tcPr>
            <w:tcW w:type="dxa" w:w="234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~$9,020</w:t>
            </w:r>
          </w:p>
        </w:tc>
      </w:tr>
      <w:tr>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2031</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$96,800</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$42,300</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~$783</w:t>
            </w:r>
          </w:p>
        </w:tc>
      </w:tr>
      <w:tr>
        <w:tc>
          <w:tcPr>
            <w:tcW w:type="dxa" w:w="156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2032-2039</w:t>
            </w:r>
          </w:p>
        </w:tc>
        <w:tc>
          <w:tcPr>
            <w:tcW w:type="dxa" w:w="234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Various</w:t>
            </w:r>
          </w:p>
        </w:tc>
        <w:tc>
          <w:tcPr>
            <w:tcW w:type="dxa" w:w="234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$0</w:t>
            </w:r>
          </w:p>
        </w:tc>
        <w:tc>
          <w:tcPr>
            <w:tcW w:type="dxa" w:w="234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$0</w:t>
            </w:r>
          </w:p>
        </w:tc>
      </w:tr>
      <w:tr>
        <w:tc>
          <w:tcPr>
            <w:tcW w:type="dxa" w:w="156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left"/>
            </w:pPr>
            <w:r>
              <w:rPr>
                <w:rFonts w:ascii="Arial" w:cs="Arial" w:eastAsia="Arial" w:hAnsi="Arial"/>
                <w:b w:val="false"/>
                <w:bCs w:val="false"/>
                <w:color w:val="000000"/>
                <w:sz w:val="18"/>
                <w:szCs w:val="18"/>
              </w:rPr>
              <w:t xml:space="preserve">2040</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$1,160,200</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$195,000</w:t>
            </w:r>
          </w:p>
        </w:tc>
        <w:tc>
          <w:tcPr>
            <w:tcW w:type="dxa" w:w="2340"/>
            <w:tcBorders>
              <w:top w:val="single" w:color="CCCCCC" w:sz="1"/>
              <w:left w:val="single" w:color="CCCCCC" w:sz="1"/>
              <w:bottom w:val="single" w:color="CCCCCC" w:sz="1"/>
              <w:right w:val="single" w:color="CCCCCC" w:sz="1"/>
            </w:tcBorders>
            <w:tcMar>
              <w:top w:type="dxa" w:w="60"/>
              <w:left w:type="dxa" w:w="100"/>
              <w:bottom w:type="dxa" w:w="60"/>
              <w:right w:type="dxa" w:w="100"/>
            </w:tcMar>
          </w:tcPr>
          <w:p>
            <w:pPr>
              <w:jc w:val="right"/>
            </w:pPr>
            <w:r>
              <w:rPr>
                <w:rFonts w:ascii="Arial" w:cs="Arial" w:eastAsia="Arial" w:hAnsi="Arial"/>
                <w:b w:val="false"/>
                <w:bCs w:val="false"/>
                <w:color w:val="000000"/>
                <w:sz w:val="18"/>
                <w:szCs w:val="18"/>
              </w:rPr>
              <w:t xml:space="preserve">~$3,611</w:t>
            </w:r>
          </w:p>
        </w:tc>
      </w:tr>
      <w:tr>
        <w:tc>
          <w:tcPr>
            <w:tcW w:type="dxa" w:w="156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left"/>
            </w:pPr>
            <w:r>
              <w:rPr>
                <w:rFonts w:ascii="Arial" w:cs="Arial" w:eastAsia="Arial" w:hAnsi="Arial"/>
                <w:b/>
                <w:bCs/>
                <w:color w:val="000000"/>
                <w:sz w:val="18"/>
                <w:szCs w:val="18"/>
              </w:rPr>
              <w:t xml:space="preserve">Total 30yr</w:t>
            </w:r>
          </w:p>
        </w:tc>
        <w:tc>
          <w:tcPr>
            <w:tcW w:type="dxa" w:w="234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bCs/>
                <w:color w:val="000000"/>
                <w:sz w:val="18"/>
                <w:szCs w:val="18"/>
              </w:rPr>
              <w:t xml:space="preserve">~$3.9M projected</w:t>
            </w:r>
          </w:p>
        </w:tc>
        <w:tc>
          <w:tcPr>
            <w:tcW w:type="dxa" w:w="234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bCs/>
                <w:color w:val="000000"/>
                <w:sz w:val="18"/>
                <w:szCs w:val="18"/>
              </w:rPr>
              <w:t xml:space="preserve">~$917,000 in levies</w:t>
            </w:r>
          </w:p>
        </w:tc>
        <w:tc>
          <w:tcPr>
            <w:tcW w:type="dxa" w:w="2340"/>
            <w:tcBorders>
              <w:top w:val="single" w:color="CCCCCC" w:sz="1"/>
              <w:left w:val="single" w:color="CCCCCC" w:sz="1"/>
              <w:bottom w:val="single" w:color="CCCCCC" w:sz="1"/>
              <w:right w:val="single" w:color="CCCCCC" w:sz="1"/>
            </w:tcBorders>
            <w:shd w:fill="F2F7FB" w:val="clear"/>
            <w:tcMar>
              <w:top w:type="dxa" w:w="60"/>
              <w:left w:type="dxa" w:w="100"/>
              <w:bottom w:type="dxa" w:w="60"/>
              <w:right w:type="dxa" w:w="100"/>
            </w:tcMar>
          </w:tcPr>
          <w:p>
            <w:pPr>
              <w:jc w:val="right"/>
            </w:pPr>
            <w:r>
              <w:rPr>
                <w:rFonts w:ascii="Arial" w:cs="Arial" w:eastAsia="Arial" w:hAnsi="Arial"/>
                <w:b/>
                <w:bCs/>
                <w:color w:val="000000"/>
                <w:sz w:val="18"/>
                <w:szCs w:val="18"/>
              </w:rPr>
              <w:t xml:space="preserve">~$17,000/unit</w:t>
            </w:r>
          </w:p>
        </w:tc>
      </w:tr>
    </w:tbl>
    <w:p>
      <w:pPr>
        <w:pStyle w:val="Heading2"/>
        <w:spacing w:after="120" w:before="240"/>
      </w:pPr>
      <w:r>
        <w:rPr>
          <w:rFonts w:ascii="Arial" w:cs="Arial" w:eastAsia="Arial" w:hAnsi="Arial"/>
          <w:b/>
          <w:bCs/>
          <w:color w:val="2E75B6"/>
          <w:sz w:val="26"/>
          <w:szCs w:val="26"/>
        </w:rPr>
        <w:t xml:space="preserve">d) Critical Near-Term Items (Next 5 Years)</w:t>
      </w:r>
    </w:p>
    <w:p>
      <w:pPr>
        <w:pStyle w:val="ListParagraph"/>
        <w:numPr>
          <w:ilvl w:val="0"/>
          <w:numId w:val="2"/>
        </w:numPr>
        <w:spacing w:after="80"/>
      </w:pPr>
      <w:r>
        <w:rPr>
          <w:rFonts w:ascii="Arial" w:cs="Arial" w:eastAsia="Arial" w:hAnsi="Arial"/>
          <w:b/>
          <w:bCs/>
          <w:sz w:val="22"/>
          <w:szCs w:val="22"/>
        </w:rPr>
        <w:t xml:space="preserve">#2 Courtyard Membrane: </w:t>
      </w:r>
      <w:r>
        <w:rPr>
          <w:rFonts w:ascii="Arial" w:cs="Arial" w:eastAsia="Arial" w:hAnsi="Arial"/>
          <w:sz w:val="22"/>
          <w:szCs w:val="22"/>
        </w:rPr>
        <w:t xml:space="preserve">$206,200 current cost, due 2027. This IS the parkade project discussed in council emails. Projected cost of $221,272 aligns with the ~$280K quote from One Percent PM (which includes PM fees and contingency).</w:t>
      </w:r>
    </w:p>
    <w:p>
      <w:pPr>
        <w:pStyle w:val="ListParagraph"/>
        <w:numPr>
          <w:ilvl w:val="0"/>
          <w:numId w:val="2"/>
        </w:numPr>
        <w:spacing w:after="80"/>
      </w:pPr>
      <w:r>
        <w:rPr>
          <w:rFonts w:ascii="Arial" w:cs="Arial" w:eastAsia="Arial" w:hAnsi="Arial"/>
          <w:b/>
          <w:bCs/>
          <w:sz w:val="22"/>
          <w:szCs w:val="22"/>
        </w:rPr>
        <w:t xml:space="preserve">#21 Two Ply Membrane Roof Assembly: </w:t>
      </w:r>
      <w:r>
        <w:rPr>
          <w:rFonts w:ascii="Arial" w:cs="Arial" w:eastAsia="Arial" w:hAnsi="Arial"/>
          <w:sz w:val="22"/>
          <w:szCs w:val="22"/>
        </w:rPr>
        <w:t xml:space="preserve">$218,400 current cost, also due 2027. Combined with the courtyard membrane, 2027 expenditures total ~$498K.</w:t>
      </w:r>
    </w:p>
    <w:p>
      <w:pPr>
        <w:pStyle w:val="ListParagraph"/>
        <w:numPr>
          <w:ilvl w:val="0"/>
          <w:numId w:val="2"/>
        </w:numPr>
        <w:spacing w:after="80"/>
      </w:pPr>
      <w:r>
        <w:rPr>
          <w:rFonts w:ascii="Arial" w:cs="Arial" w:eastAsia="Arial" w:hAnsi="Arial"/>
          <w:b/>
          <w:bCs/>
          <w:sz w:val="22"/>
          <w:szCs w:val="22"/>
        </w:rPr>
        <w:t xml:space="preserve">#27 Balcony Waterproofing: </w:t>
      </w:r>
      <w:r>
        <w:rPr>
          <w:rFonts w:ascii="Arial" w:cs="Arial" w:eastAsia="Arial" w:hAnsi="Arial"/>
          <w:sz w:val="22"/>
          <w:szCs w:val="22"/>
        </w:rPr>
        <w:t xml:space="preserve">$20,000 already spent in 2025 (year-0 expenditure).</w:t>
      </w:r>
    </w:p>
    <w:p>
      <w:pPr>
        <w:pStyle w:val="ListParagraph"/>
        <w:numPr>
          <w:ilvl w:val="0"/>
          <w:numId w:val="2"/>
        </w:numPr>
        <w:spacing w:after="80"/>
      </w:pPr>
      <w:r>
        <w:rPr>
          <w:rFonts w:ascii="Arial" w:cs="Arial" w:eastAsia="Arial" w:hAnsi="Arial"/>
          <w:b/>
          <w:bCs/>
          <w:sz w:val="22"/>
          <w:szCs w:val="22"/>
        </w:rPr>
        <w:t xml:space="preserve">#13 Caulking: </w:t>
      </w:r>
      <w:r>
        <w:rPr>
          <w:rFonts w:ascii="Arial" w:cs="Arial" w:eastAsia="Arial" w:hAnsi="Arial"/>
          <w:sz w:val="22"/>
          <w:szCs w:val="22"/>
        </w:rPr>
        <w:t xml:space="preserve">$12,900 current cost, due 2027.</w:t>
      </w:r>
    </w:p>
    <w:p>
      <w:pPr>
        <w:pStyle w:val="ListParagraph"/>
        <w:numPr>
          <w:ilvl w:val="0"/>
          <w:numId w:val="2"/>
        </w:numPr>
        <w:spacing w:after="80"/>
      </w:pPr>
      <w:r>
        <w:rPr>
          <w:rFonts w:ascii="Arial" w:cs="Arial" w:eastAsia="Arial" w:hAnsi="Arial"/>
          <w:b/>
          <w:bCs/>
          <w:sz w:val="22"/>
          <w:szCs w:val="22"/>
        </w:rPr>
        <w:t xml:space="preserve">#24 Exterior Paint: </w:t>
      </w:r>
      <w:r>
        <w:rPr>
          <w:rFonts w:ascii="Arial" w:cs="Arial" w:eastAsia="Arial" w:hAnsi="Arial"/>
          <w:sz w:val="22"/>
          <w:szCs w:val="22"/>
        </w:rPr>
        <w:t xml:space="preserve">$65,300 current cost, due 2028.</w:t>
      </w:r>
    </w:p>
    <w:p>
      <w:pPr>
        <w:pStyle w:val="ListParagraph"/>
        <w:numPr>
          <w:ilvl w:val="0"/>
          <w:numId w:val="2"/>
        </w:numPr>
        <w:spacing w:after="80"/>
      </w:pPr>
      <w:r>
        <w:rPr>
          <w:rFonts w:ascii="Arial" w:cs="Arial" w:eastAsia="Arial" w:hAnsi="Arial"/>
          <w:b/>
          <w:bCs/>
          <w:sz w:val="22"/>
          <w:szCs w:val="22"/>
        </w:rPr>
        <w:t xml:space="preserve">#31 Elevator Cab Renovation: </w:t>
      </w:r>
      <w:r>
        <w:rPr>
          <w:rFonts w:ascii="Arial" w:cs="Arial" w:eastAsia="Arial" w:hAnsi="Arial"/>
          <w:sz w:val="22"/>
          <w:szCs w:val="22"/>
        </w:rPr>
        <w:t xml:space="preserve">$25,500 current cost, due 2027.</w:t>
      </w:r>
    </w:p>
    <w:p>
      <w:pPr>
        <w:pStyle w:val="Heading2"/>
        <w:spacing w:after="120" w:before="240"/>
      </w:pPr>
      <w:r>
        <w:rPr>
          <w:rFonts w:ascii="Arial" w:cs="Arial" w:eastAsia="Arial" w:hAnsi="Arial"/>
          <w:b/>
          <w:bCs/>
          <w:color w:val="2E75B6"/>
          <w:sz w:val="26"/>
          <w:szCs w:val="26"/>
        </w:rPr>
        <w:t xml:space="preserve">e) Recommended Contributions</w:t>
      </w:r>
    </w:p>
    <w:p>
      <w:pPr>
        <w:pStyle w:val="ListParagraph"/>
        <w:numPr>
          <w:ilvl w:val="0"/>
          <w:numId w:val="2"/>
        </w:numPr>
        <w:spacing w:after="80"/>
      </w:pPr>
      <w:r>
        <w:rPr>
          <w:rFonts w:ascii="Arial" w:cs="Arial" w:eastAsia="Arial" w:hAnsi="Arial"/>
          <w:b/>
          <w:bCs/>
          <w:sz w:val="22"/>
          <w:szCs w:val="22"/>
        </w:rPr>
        <w:t xml:space="preserve">FY2026 Recommendation: </w:t>
      </w:r>
      <w:r>
        <w:rPr>
          <w:rFonts w:ascii="Arial" w:cs="Arial" w:eastAsia="Arial" w:hAnsi="Arial"/>
          <w:sz w:val="22"/>
          <w:szCs w:val="22"/>
        </w:rPr>
        <w:t xml:space="preserve">$27,183 (up from $24,712 in FY2025, a 10% increase)</w:t>
      </w:r>
    </w:p>
    <w:p>
      <w:pPr>
        <w:pStyle w:val="ListParagraph"/>
        <w:numPr>
          <w:ilvl w:val="0"/>
          <w:numId w:val="2"/>
        </w:numPr>
        <w:spacing w:after="80"/>
      </w:pPr>
      <w:r>
        <w:rPr>
          <w:rFonts w:ascii="Arial" w:cs="Arial" w:eastAsia="Arial" w:hAnsi="Arial"/>
          <w:b/>
          <w:bCs/>
          <w:sz w:val="22"/>
          <w:szCs w:val="22"/>
        </w:rPr>
        <w:t xml:space="preserve">Per-Unit Monthly: </w:t>
      </w:r>
      <w:r>
        <w:rPr>
          <w:rFonts w:ascii="Arial" w:cs="Arial" w:eastAsia="Arial" w:hAnsi="Arial"/>
          <w:sz w:val="22"/>
          <w:szCs w:val="22"/>
        </w:rPr>
        <w:t xml:space="preserve">Increases from $38 to $42 per month</w:t>
      </w:r>
    </w:p>
    <w:p>
      <w:pPr>
        <w:pStyle w:val="ListParagraph"/>
        <w:numPr>
          <w:ilvl w:val="0"/>
          <w:numId w:val="2"/>
        </w:numPr>
        <w:spacing w:after="80"/>
      </w:pPr>
      <w:r>
        <w:rPr>
          <w:rFonts w:ascii="Arial" w:cs="Arial" w:eastAsia="Arial" w:hAnsi="Arial"/>
          <w:b/>
          <w:bCs/>
          <w:sz w:val="22"/>
          <w:szCs w:val="22"/>
        </w:rPr>
        <w:t xml:space="preserve">Adequacy: </w:t>
      </w:r>
      <w:r>
        <w:rPr>
          <w:rFonts w:ascii="Arial" w:cs="Arial" w:eastAsia="Arial" w:hAnsi="Arial"/>
          <w:sz w:val="22"/>
          <w:szCs w:val="22"/>
        </w:rPr>
        <w:t xml:space="preserve">Even with these increases, this STILL only reaches 28% of ideal contributions</w:t>
      </w:r>
    </w:p>
    <w:p>
      <w:pPr>
        <w:pStyle w:val="ListParagraph"/>
        <w:numPr>
          <w:ilvl w:val="0"/>
          <w:numId w:val="2"/>
        </w:numPr>
        <w:spacing w:after="80"/>
      </w:pPr>
      <w:r>
        <w:rPr>
          <w:rFonts w:ascii="Arial" w:cs="Arial" w:eastAsia="Arial" w:hAnsi="Arial"/>
          <w:b/>
          <w:bCs/>
          <w:sz w:val="22"/>
          <w:szCs w:val="22"/>
        </w:rPr>
        <w:t xml:space="preserve">Escalation Plan: </w:t>
      </w:r>
      <w:r>
        <w:rPr>
          <w:rFonts w:ascii="Arial" w:cs="Arial" w:eastAsia="Arial" w:hAnsi="Arial"/>
          <w:sz w:val="22"/>
          <w:szCs w:val="22"/>
        </w:rPr>
        <w:t xml:space="preserve">The report recommends contributions increasing to $29,900 in 2027, $34,400 in 2028, growing to $45,500 by 2030</w:t>
      </w:r>
    </w:p>
    <w:p>
      <w:pPr>
        <w:pStyle w:val="ListParagraph"/>
        <w:numPr>
          <w:ilvl w:val="0"/>
          <w:numId w:val="2"/>
        </w:numPr>
        <w:spacing w:after="80"/>
      </w:pPr>
      <w:r>
        <w:rPr>
          <w:rFonts w:ascii="Arial" w:cs="Arial" w:eastAsia="Arial" w:hAnsi="Arial"/>
          <w:b/>
          <w:bCs/>
          <w:sz w:val="22"/>
          <w:szCs w:val="22"/>
        </w:rPr>
        <w:t xml:space="preserve">Critical Cash Flow Gap: </w:t>
      </w:r>
      <w:r>
        <w:rPr>
          <w:rFonts w:ascii="Arial" w:cs="Arial" w:eastAsia="Arial" w:hAnsi="Arial"/>
          <w:sz w:val="22"/>
          <w:szCs w:val="22"/>
        </w:rPr>
        <w:t xml:space="preserve">Even with the recommended increases and special levies, the CRF balance will drop to $0 in fiscal years 2028-2029 and again in 2031-2032.</w:t>
      </w:r>
    </w:p>
    <w:p>
      <w:pPr>
        <w:pStyle w:val="Heading2"/>
        <w:spacing w:after="120" w:before="240"/>
      </w:pPr>
      <w:r>
        <w:rPr>
          <w:rFonts w:ascii="Arial" w:cs="Arial" w:eastAsia="Arial" w:hAnsi="Arial"/>
          <w:b/>
          <w:bCs/>
          <w:color w:val="2E75B6"/>
          <w:sz w:val="26"/>
          <w:szCs w:val="26"/>
        </w:rPr>
        <w:t xml:space="preserve">f) Impact on Our Financial Analysis</w:t>
      </w:r>
    </w:p>
    <w:p>
      <w:pPr>
        <w:pStyle w:val="ListParagraph"/>
        <w:numPr>
          <w:ilvl w:val="0"/>
          <w:numId w:val="2"/>
        </w:numPr>
        <w:spacing w:after="80"/>
      </w:pPr>
      <w:r>
        <w:rPr>
          <w:rFonts w:ascii="Arial" w:cs="Arial" w:eastAsia="Arial" w:hAnsi="Arial"/>
          <w:b/>
          <w:bCs/>
          <w:sz w:val="22"/>
          <w:szCs w:val="22"/>
        </w:rPr>
        <w:t xml:space="preserve">NLD Consulting expense is now reclassified </w:t>
      </w:r>
      <w:r>
        <w:rPr>
          <w:rFonts w:ascii="Arial" w:cs="Arial" w:eastAsia="Arial" w:hAnsi="Arial"/>
          <w:sz w:val="22"/>
          <w:szCs w:val="22"/>
        </w:rPr>
        <w:t xml:space="preserve">from red flag to proper, explained expense. The depreciation report is legitimate and legally-required.</w:t>
      </w:r>
    </w:p>
    <w:p>
      <w:pPr>
        <w:pStyle w:val="ListParagraph"/>
        <w:numPr>
          <w:ilvl w:val="0"/>
          <w:numId w:val="2"/>
        </w:numPr>
        <w:spacing w:after="80"/>
      </w:pPr>
      <w:r>
        <w:rPr>
          <w:rFonts w:ascii="Arial" w:cs="Arial" w:eastAsia="Arial" w:hAnsi="Arial"/>
          <w:b/>
          <w:bCs/>
          <w:sz w:val="22"/>
          <w:szCs w:val="22"/>
        </w:rPr>
        <w:t xml:space="preserve">CRF situation is significantly more concerning </w:t>
      </w:r>
      <w:r>
        <w:rPr>
          <w:rFonts w:ascii="Arial" w:cs="Arial" w:eastAsia="Arial" w:hAnsi="Arial"/>
          <w:sz w:val="22"/>
          <w:szCs w:val="22"/>
        </w:rPr>
        <w:t xml:space="preserve">than the financial statements alone suggest. While the CRF grew during FY2025, the $1.96M deficiency means the fund is catastrophically underfunded relative to the building's 30-year capital needs.</w:t>
      </w:r>
    </w:p>
    <w:p>
      <w:pPr>
        <w:pStyle w:val="ListParagraph"/>
        <w:numPr>
          <w:ilvl w:val="0"/>
          <w:numId w:val="2"/>
        </w:numPr>
        <w:spacing w:after="80"/>
      </w:pPr>
      <w:r>
        <w:rPr>
          <w:rFonts w:ascii="Arial" w:cs="Arial" w:eastAsia="Arial" w:hAnsi="Arial"/>
          <w:b/>
          <w:bCs/>
          <w:sz w:val="22"/>
          <w:szCs w:val="22"/>
        </w:rPr>
        <w:t xml:space="preserve">The 9.4% CRF contribution rate is even more critical now - </w:t>
      </w:r>
      <w:r>
        <w:rPr>
          <w:rFonts w:ascii="Arial" w:cs="Arial" w:eastAsia="Arial" w:hAnsi="Arial"/>
          <w:sz w:val="22"/>
          <w:szCs w:val="22"/>
        </w:rPr>
        <w:t xml:space="preserve">the depreciation report recommends $27,183 (approximately 10.3% of the operating budget), which would just barely meet the 10% minimum.</w:t>
      </w:r>
    </w:p>
    <w:p>
      <w:pPr>
        <w:pStyle w:val="ListParagraph"/>
        <w:numPr>
          <w:ilvl w:val="0"/>
          <w:numId w:val="2"/>
        </w:numPr>
        <w:spacing w:after="80"/>
      </w:pPr>
      <w:r>
        <w:rPr>
          <w:rFonts w:ascii="Arial" w:cs="Arial" w:eastAsia="Arial" w:hAnsi="Arial"/>
          <w:b/>
          <w:bCs/>
          <w:sz w:val="22"/>
          <w:szCs w:val="22"/>
        </w:rPr>
        <w:t xml:space="preserve">Special levies of ~$154K in 2027 and ~$487K in 2030 </w:t>
      </w:r>
      <w:r>
        <w:rPr>
          <w:rFonts w:ascii="Arial" w:cs="Arial" w:eastAsia="Arial" w:hAnsi="Arial"/>
          <w:sz w:val="22"/>
          <w:szCs w:val="22"/>
        </w:rPr>
        <w:t xml:space="preserve">are significant for a senior-oriented building where many owners may be on fixed incomes. Council member Monika Mavi's questions about levy recovery timelines for fixed-income residents are highly relevant.</w:t>
      </w:r>
    </w:p>
    <w:p>
      <w:pPr>
        <w:pStyle w:val="ListParagraph"/>
        <w:numPr>
          <w:ilvl w:val="0"/>
          <w:numId w:val="2"/>
        </w:numPr>
        <w:spacing w:after="80"/>
      </w:pPr>
      <w:r>
        <w:rPr>
          <w:rFonts w:ascii="Arial" w:cs="Arial" w:eastAsia="Arial" w:hAnsi="Arial"/>
          <w:b/>
          <w:bCs/>
          <w:sz w:val="22"/>
          <w:szCs w:val="22"/>
        </w:rPr>
        <w:t xml:space="preserve">The parkade membrane project (~$280K) </w:t>
      </w:r>
      <w:r>
        <w:rPr>
          <w:rFonts w:ascii="Arial" w:cs="Arial" w:eastAsia="Arial" w:hAnsi="Arial"/>
          <w:sz w:val="22"/>
          <w:szCs w:val="22"/>
        </w:rPr>
        <w:t xml:space="preserve">is properly accounted for in the depreciation report as Component #2, validating the scope and approximate cost.</w:t>
      </w:r>
    </w:p>
    <w:p>
      <w:pPr>
        <w:pStyle w:val="Heading2"/>
        <w:spacing w:after="120" w:before="240"/>
      </w:pPr>
      <w:r>
        <w:rPr>
          <w:rFonts w:ascii="Arial" w:cs="Arial" w:eastAsia="Arial" w:hAnsi="Arial"/>
          <w:b/>
          <w:bCs/>
          <w:color w:val="2E75B6"/>
          <w:sz w:val="26"/>
          <w:szCs w:val="26"/>
        </w:rPr>
        <w:t xml:space="preserve">Overall Assessment</w:t>
      </w:r>
    </w:p>
    <w:p>
      <w:pPr>
        <w:spacing w:after="120"/>
      </w:pPr>
      <w:r>
        <w:rPr>
          <w:rFonts w:ascii="Arial" w:cs="Arial" w:eastAsia="Arial" w:hAnsi="Arial"/>
          <w:sz w:val="22"/>
          <w:szCs w:val="22"/>
        </w:rPr>
        <w:t xml:space="preserve">The day-to-day financial management of KAS1911 by CML Properties is sound at the bookkeeping level. Bank reconciliations are clean, payables are current, and the strata ended FY2025 with positive net income. However, the most critical finding in this analysis is the NLD Consulting depreciation report, which reveals a $1.96 million deficiency in the contingency reserve fund. While several structural and governance issues warrant attention—the below-minimum CRF contribution rate, the recurring CRF loan pattern, significant unbudgeted expenses in fire systems, and communication practices that create information asymmetry among council members—none is as consequential as the long-term capital funding crisis exposed by the depreciation analysis. The strata must immediately adopt the recommended $27,183 annual CRF contribution and begin communication about the special levies needed in 2027 and 2030. Failure to address this will force increasingly urgent and larger levies on a senior-oriented resident population in the coming years.</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888888"/>
        <w:sz w:val="16"/>
        <w:szCs w:val="16"/>
      </w:rPr>
      <w:t xml:space="preserve">Page </w:t>
    </w:r>
    <w:r>
      <w:rPr>
        <w:rFonts w:ascii="Arial" w:cs="Arial" w:eastAsia="Arial" w:hAnsi="Arial"/>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888888"/>
        <w:sz w:val="16"/>
        <w:szCs w:val="16"/>
      </w:rPr>
      <w:t xml:space="preserve">KAS1911 Financial Review | Prepared for Tushar | March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pPr>
    <w:rPr>
      <w:rFonts w:ascii="Arial" w:cs="Arial" w:eastAsia="Arial" w:hAnsi="Arial"/>
      <w:b/>
      <w:bCs/>
      <w:color w:val="1F4E79"/>
      <w:sz w:val="32"/>
      <w:szCs w:val="32"/>
    </w:rPr>
  </w:style>
  <w:style w:type="paragraph" w:styleId="Heading2">
    <w:name w:val="Heading 2"/>
    <w:basedOn w:val="Normal"/>
    <w:next w:val="Normal"/>
    <w:qFormat/>
    <w:pPr>
      <w:spacing w:after="120" w:before="240"/>
    </w:pPr>
    <w:rPr>
      <w:rFonts w:ascii="Arial" w:cs="Arial" w:eastAsia="Arial" w:hAnsi="Arial"/>
      <w:b/>
      <w:bCs/>
      <w:color w:val="2E75B6"/>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2026-03-01T06:33:28.993Z</dcterms:created>
  <dcterms:modified xsi:type="dcterms:W3CDTF">2026-03-01T06:33:28.994Z</dcterms:modified>
</cp:coreProperties>
</file>

<file path=docProps/custom.xml><?xml version="1.0" encoding="utf-8"?>
<Properties xmlns="http://schemas.openxmlformats.org/officeDocument/2006/custom-properties" xmlns:vt="http://schemas.openxmlformats.org/officeDocument/2006/docPropsVTypes"/>
</file>